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40DFCA19" w:rsidR="007357DF" w:rsidRPr="00EA4CAC" w:rsidRDefault="007357DF" w:rsidP="007357DF">
      <w:pPr>
        <w:pStyle w:val="Header"/>
        <w:tabs>
          <w:tab w:val="left" w:pos="8280"/>
        </w:tabs>
        <w:spacing w:line="280" w:lineRule="exact"/>
        <w:jc w:val="both"/>
        <w:rPr>
          <w:rFonts w:eastAsia="PMingLiU" w:cs="Arial"/>
          <w:noProof w:val="0"/>
          <w:sz w:val="22"/>
          <w:szCs w:val="22"/>
          <w:lang w:eastAsia="ja-JP"/>
        </w:rPr>
      </w:pPr>
      <w:r w:rsidRPr="00EA4CAC">
        <w:rPr>
          <w:rFonts w:eastAsia="PMingLiU" w:cs="Arial"/>
          <w:noProof w:val="0"/>
          <w:sz w:val="22"/>
          <w:szCs w:val="22"/>
          <w:lang w:eastAsia="ja-JP"/>
        </w:rPr>
        <w:t xml:space="preserve">3GPP TSG-RAN WG4 </w:t>
      </w:r>
      <w:r w:rsidR="00177E0A" w:rsidRPr="00EA4CAC">
        <w:rPr>
          <w:rFonts w:eastAsia="PMingLiU" w:cs="Arial"/>
          <w:noProof w:val="0"/>
          <w:color w:val="000000" w:themeColor="text1"/>
          <w:sz w:val="22"/>
          <w:szCs w:val="22"/>
          <w:lang w:eastAsia="ja-JP"/>
        </w:rPr>
        <w:t>Meeting #10</w:t>
      </w:r>
      <w:r w:rsidR="005B2B6A">
        <w:rPr>
          <w:rFonts w:eastAsia="PMingLiU" w:cs="Arial"/>
          <w:noProof w:val="0"/>
          <w:color w:val="000000" w:themeColor="text1"/>
          <w:sz w:val="22"/>
          <w:szCs w:val="22"/>
          <w:lang w:eastAsia="ja-JP"/>
        </w:rPr>
        <w:t>1</w:t>
      </w:r>
      <w:r w:rsidR="00AF33F9" w:rsidRPr="00EA4CAC">
        <w:rPr>
          <w:rFonts w:eastAsia="PMingLiU" w:cs="Arial"/>
          <w:noProof w:val="0"/>
          <w:color w:val="000000" w:themeColor="text1"/>
          <w:sz w:val="22"/>
          <w:szCs w:val="22"/>
          <w:lang w:eastAsia="ja-JP"/>
        </w:rPr>
        <w:t>-e</w:t>
      </w:r>
      <w:r w:rsidRPr="00EA4CAC">
        <w:rPr>
          <w:rFonts w:eastAsia="PMingLiU" w:cs="Arial"/>
          <w:noProof w:val="0"/>
          <w:color w:val="000000" w:themeColor="text1"/>
          <w:sz w:val="22"/>
          <w:szCs w:val="22"/>
          <w:lang w:eastAsia="ja-JP"/>
        </w:rPr>
        <w:t xml:space="preserve">                </w:t>
      </w:r>
      <w:r w:rsidRPr="00EA4CAC">
        <w:rPr>
          <w:rFonts w:eastAsia="PMingLiU" w:cs="Arial"/>
          <w:noProof w:val="0"/>
          <w:sz w:val="22"/>
          <w:szCs w:val="22"/>
          <w:lang w:eastAsia="ja-JP"/>
        </w:rPr>
        <w:tab/>
        <w:t xml:space="preserve"> </w:t>
      </w:r>
      <w:r w:rsidR="00253E00" w:rsidRPr="00EA4CAC">
        <w:rPr>
          <w:rFonts w:eastAsia="PMingLiU" w:cs="Arial"/>
          <w:noProof w:val="0"/>
          <w:sz w:val="22"/>
          <w:szCs w:val="22"/>
          <w:lang w:eastAsia="ja-JP"/>
        </w:rPr>
        <w:t>R4</w:t>
      </w:r>
      <w:r w:rsidR="00346046">
        <w:rPr>
          <w:rFonts w:eastAsia="PMingLiU" w:cs="Arial"/>
          <w:noProof w:val="0"/>
          <w:sz w:val="22"/>
          <w:szCs w:val="22"/>
          <w:lang w:eastAsia="ja-JP"/>
        </w:rPr>
        <w:t>-</w:t>
      </w:r>
      <w:r w:rsidR="00147ACC" w:rsidRPr="00147ACC">
        <w:rPr>
          <w:rFonts w:eastAsia="PMingLiU" w:cs="Arial"/>
          <w:noProof w:val="0"/>
          <w:sz w:val="22"/>
          <w:szCs w:val="22"/>
          <w:lang w:eastAsia="ja-JP"/>
        </w:rPr>
        <w:t>2119270</w:t>
      </w:r>
    </w:p>
    <w:p w14:paraId="0426E601" w14:textId="3A400FBB" w:rsidR="002E58D2" w:rsidRPr="00EA4CAC" w:rsidRDefault="00B4536A" w:rsidP="009111E4">
      <w:pPr>
        <w:ind w:left="1985" w:hanging="1985"/>
        <w:rPr>
          <w:rFonts w:ascii="Arial" w:eastAsia="PMingLiU" w:hAnsi="Arial" w:cs="Arial"/>
          <w:b/>
          <w:lang w:eastAsia="ja-JP"/>
        </w:rPr>
      </w:pPr>
      <w:r w:rsidRPr="00EA4CAC">
        <w:rPr>
          <w:rFonts w:ascii="Arial" w:eastAsia="PMingLiU" w:hAnsi="Arial" w:cs="Arial"/>
          <w:b/>
          <w:lang w:eastAsia="ja-JP"/>
        </w:rPr>
        <w:t>Electronic Meeting</w:t>
      </w:r>
      <w:r w:rsidRPr="00EA4CAC">
        <w:rPr>
          <w:rFonts w:ascii="Arial" w:eastAsia="PMingLiU" w:hAnsi="Arial" w:cs="Arial"/>
          <w:b/>
          <w:color w:val="000000" w:themeColor="text1"/>
          <w:lang w:eastAsia="ja-JP"/>
        </w:rPr>
        <w:t>,</w:t>
      </w:r>
      <w:r w:rsidR="00177E0A" w:rsidRPr="00EA4CAC">
        <w:rPr>
          <w:rFonts w:ascii="Arial" w:eastAsia="PMingLiU" w:hAnsi="Arial" w:cs="Arial"/>
          <w:b/>
          <w:color w:val="000000" w:themeColor="text1"/>
          <w:lang w:eastAsia="ja-JP"/>
        </w:rPr>
        <w:t xml:space="preserve"> </w:t>
      </w:r>
      <w:r w:rsidR="00E6734B">
        <w:rPr>
          <w:rFonts w:ascii="Arial" w:eastAsia="PMingLiU" w:hAnsi="Arial" w:cs="Arial"/>
          <w:b/>
          <w:color w:val="000000" w:themeColor="text1"/>
          <w:lang w:eastAsia="ja-JP"/>
        </w:rPr>
        <w:t>November 01</w:t>
      </w:r>
      <w:r w:rsidR="00E6734B" w:rsidRPr="00B009EF">
        <w:rPr>
          <w:rFonts w:ascii="Arial" w:eastAsia="PMingLiU" w:hAnsi="Arial" w:cs="Arial"/>
          <w:b/>
          <w:color w:val="000000" w:themeColor="text1"/>
          <w:vertAlign w:val="superscript"/>
          <w:lang w:eastAsia="ja-JP"/>
        </w:rPr>
        <w:t>st</w:t>
      </w:r>
      <w:r w:rsidR="00E6734B" w:rsidRPr="00B009EF">
        <w:rPr>
          <w:rFonts w:ascii="Arial" w:eastAsia="PMingLiU" w:hAnsi="Arial" w:cs="Arial"/>
          <w:b/>
          <w:color w:val="000000" w:themeColor="text1"/>
          <w:lang w:eastAsia="ja-JP"/>
        </w:rPr>
        <w:t>-12</w:t>
      </w:r>
      <w:r w:rsidR="00E6734B" w:rsidRPr="00B009EF">
        <w:rPr>
          <w:rFonts w:ascii="Arial" w:eastAsia="PMingLiU" w:hAnsi="Arial" w:cs="Arial"/>
          <w:b/>
          <w:color w:val="000000" w:themeColor="text1"/>
          <w:vertAlign w:val="superscript"/>
          <w:lang w:eastAsia="ja-JP"/>
        </w:rPr>
        <w:t>th</w:t>
      </w:r>
      <w:r w:rsidR="00E6734B" w:rsidRPr="00EA4CAC">
        <w:rPr>
          <w:rFonts w:ascii="Arial" w:eastAsia="PMingLiU" w:hAnsi="Arial" w:cs="Arial"/>
          <w:b/>
          <w:color w:val="000000" w:themeColor="text1"/>
          <w:lang w:eastAsia="ja-JP"/>
        </w:rPr>
        <w:t xml:space="preserve">, </w:t>
      </w:r>
      <w:r w:rsidRPr="00EA4CAC">
        <w:rPr>
          <w:rFonts w:ascii="Arial" w:eastAsia="PMingLiU" w:hAnsi="Arial" w:cs="Arial"/>
          <w:b/>
          <w:color w:val="000000" w:themeColor="text1"/>
          <w:lang w:eastAsia="ja-JP"/>
        </w:rPr>
        <w:t>2021</w:t>
      </w:r>
    </w:p>
    <w:p w14:paraId="6352570E" w14:textId="5C3BA3CC" w:rsidR="00FB1EA3" w:rsidRPr="00EA4CAC" w:rsidRDefault="00FB1EA3" w:rsidP="00FB1EA3">
      <w:pPr>
        <w:ind w:left="1985" w:hanging="1985"/>
        <w:rPr>
          <w:rFonts w:ascii="Arial" w:hAnsi="Arial" w:cs="Arial"/>
          <w:b/>
          <w:bCs/>
        </w:rPr>
      </w:pPr>
      <w:r w:rsidRPr="00EA4CAC">
        <w:rPr>
          <w:rFonts w:ascii="Arial" w:hAnsi="Arial" w:cs="Arial"/>
          <w:b/>
          <w:bCs/>
        </w:rPr>
        <w:t>Agenda Item:</w:t>
      </w:r>
      <w:r w:rsidRPr="00EA4CAC">
        <w:rPr>
          <w:rFonts w:ascii="Arial" w:hAnsi="Arial" w:cs="Arial"/>
          <w:b/>
          <w:bCs/>
        </w:rPr>
        <w:tab/>
      </w:r>
      <w:r w:rsidR="00E6734B">
        <w:rPr>
          <w:rFonts w:ascii="Arial" w:hAnsi="Arial" w:cs="Arial"/>
          <w:b/>
          <w:bCs/>
        </w:rPr>
        <w:t>8</w:t>
      </w:r>
      <w:r w:rsidR="00FE0183" w:rsidRPr="006E3CE7">
        <w:rPr>
          <w:rFonts w:ascii="Arial" w:hAnsi="Arial" w:cs="Arial"/>
          <w:b/>
          <w:bCs/>
        </w:rPr>
        <w:t>.23.2.</w:t>
      </w:r>
      <w:r w:rsidR="00E6734B">
        <w:rPr>
          <w:rFonts w:ascii="Arial" w:hAnsi="Arial" w:cs="Arial"/>
          <w:b/>
          <w:bCs/>
        </w:rPr>
        <w:t>1</w:t>
      </w:r>
    </w:p>
    <w:p w14:paraId="68E291BE" w14:textId="77777777" w:rsidR="0034111C" w:rsidRPr="00EA4CAC" w:rsidRDefault="0034111C" w:rsidP="00A37145">
      <w:pPr>
        <w:ind w:left="1985" w:hanging="1985"/>
        <w:rPr>
          <w:rFonts w:ascii="Arial" w:hAnsi="Arial" w:cs="Arial"/>
          <w:b/>
          <w:bCs/>
        </w:rPr>
      </w:pPr>
      <w:r w:rsidRPr="00EA4CAC">
        <w:rPr>
          <w:rFonts w:ascii="Arial" w:hAnsi="Arial" w:cs="Arial"/>
          <w:b/>
          <w:bCs/>
        </w:rPr>
        <w:t>Source:</w:t>
      </w:r>
      <w:r w:rsidRPr="00EA4CAC">
        <w:rPr>
          <w:rFonts w:ascii="Arial" w:hAnsi="Arial" w:cs="Arial"/>
          <w:b/>
          <w:bCs/>
        </w:rPr>
        <w:tab/>
      </w:r>
      <w:r w:rsidR="002E58D2" w:rsidRPr="00EA4CAC">
        <w:rPr>
          <w:rFonts w:ascii="Arial" w:hAnsi="Arial" w:cs="Arial"/>
          <w:b/>
          <w:bCs/>
        </w:rPr>
        <w:t>MediaTek Inc.</w:t>
      </w:r>
    </w:p>
    <w:p w14:paraId="56FE282C" w14:textId="57A6F0C7" w:rsidR="00174EC2" w:rsidRPr="00EA4CAC" w:rsidRDefault="0034111C" w:rsidP="007A4FCF">
      <w:pPr>
        <w:ind w:left="1985" w:hanging="1985"/>
        <w:rPr>
          <w:rFonts w:ascii="Arial" w:hAnsi="Arial" w:cs="Arial"/>
          <w:b/>
          <w:bCs/>
        </w:rPr>
      </w:pPr>
      <w:r w:rsidRPr="00EA4CAC">
        <w:rPr>
          <w:rFonts w:ascii="Arial" w:hAnsi="Arial" w:cs="Arial"/>
          <w:b/>
          <w:bCs/>
        </w:rPr>
        <w:t>Title:</w:t>
      </w:r>
      <w:r w:rsidRPr="00EA4CAC">
        <w:rPr>
          <w:rFonts w:ascii="Arial" w:hAnsi="Arial" w:cs="Arial"/>
          <w:b/>
          <w:bCs/>
        </w:rPr>
        <w:tab/>
      </w:r>
      <w:r w:rsidR="002B2167" w:rsidRPr="002B2167">
        <w:rPr>
          <w:rFonts w:ascii="Arial" w:hAnsi="Arial" w:cs="Arial"/>
          <w:b/>
          <w:bCs/>
        </w:rPr>
        <w:t>Propagation delay compensation enhancements</w:t>
      </w:r>
    </w:p>
    <w:p w14:paraId="6F580D61" w14:textId="02532221" w:rsidR="0034111C" w:rsidRPr="00EA4CAC" w:rsidRDefault="0034111C" w:rsidP="007A4FCF">
      <w:pPr>
        <w:ind w:left="1985" w:hanging="1985"/>
        <w:rPr>
          <w:rFonts w:ascii="Arial" w:hAnsi="Arial" w:cs="Arial"/>
          <w:b/>
          <w:bCs/>
          <w:color w:val="000000" w:themeColor="text1"/>
        </w:rPr>
      </w:pPr>
      <w:r w:rsidRPr="00EA4CAC">
        <w:rPr>
          <w:rFonts w:ascii="Arial" w:hAnsi="Arial" w:cs="Arial"/>
          <w:b/>
          <w:bCs/>
          <w:color w:val="000000" w:themeColor="text1"/>
        </w:rPr>
        <w:t>Document for:</w:t>
      </w:r>
      <w:r w:rsidRPr="00EA4CAC">
        <w:rPr>
          <w:rFonts w:ascii="Arial" w:hAnsi="Arial" w:cs="Arial"/>
          <w:b/>
          <w:bCs/>
          <w:color w:val="000000" w:themeColor="text1"/>
        </w:rPr>
        <w:tab/>
      </w:r>
      <w:r w:rsidRPr="00EA4CAC">
        <w:rPr>
          <w:rFonts w:ascii="Arial" w:hAnsi="Arial" w:cs="Arial"/>
          <w:b/>
          <w:bCs/>
          <w:color w:val="000000" w:themeColor="text1"/>
        </w:rPr>
        <w:tab/>
      </w:r>
      <w:r w:rsidR="00E85D04" w:rsidRPr="00EA4CAC">
        <w:rPr>
          <w:rFonts w:ascii="Arial" w:hAnsi="Arial" w:cs="Arial"/>
          <w:b/>
          <w:bCs/>
          <w:color w:val="000000" w:themeColor="text1"/>
        </w:rPr>
        <w:t>Discussion</w:t>
      </w:r>
      <w:r w:rsidR="006E3CE7">
        <w:rPr>
          <w:rFonts w:ascii="Arial" w:hAnsi="Arial" w:cs="Arial"/>
          <w:b/>
          <w:bCs/>
          <w:color w:val="000000" w:themeColor="text1"/>
        </w:rPr>
        <w:t xml:space="preserve"> </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D7874B7" w14:textId="714DD22B" w:rsidR="00210915" w:rsidRPr="009E0672" w:rsidRDefault="00210915" w:rsidP="00210915">
      <w:pPr>
        <w:spacing w:after="120"/>
        <w:jc w:val="both"/>
        <w:textAlignment w:val="center"/>
        <w:rPr>
          <w:rFonts w:eastAsia="SimSun"/>
          <w:lang w:val="en-US" w:eastAsia="zh-CN"/>
        </w:rPr>
      </w:pPr>
      <w:r w:rsidRPr="009E0672">
        <w:rPr>
          <w:rFonts w:eastAsia="SimSun"/>
          <w:lang w:val="en-US" w:eastAsia="zh-CN"/>
        </w:rPr>
        <w:t xml:space="preserve">The revised </w:t>
      </w:r>
      <w:r w:rsidR="00AA70AF">
        <w:rPr>
          <w:rFonts w:eastAsia="SimSun"/>
          <w:lang w:val="en-US" w:eastAsia="zh-CN"/>
        </w:rPr>
        <w:t>WID</w:t>
      </w:r>
      <w:r w:rsidRPr="009E0672">
        <w:rPr>
          <w:rFonts w:eastAsia="SimSun"/>
          <w:lang w:val="en-US" w:eastAsia="zh-CN"/>
        </w:rPr>
        <w:t xml:space="preserve"> on physical layer enhancements for NR URLLC for Rel-17 has the following objective</w:t>
      </w:r>
      <w:r w:rsidR="00AA70AF">
        <w:rPr>
          <w:rFonts w:eastAsia="SimSun"/>
          <w:lang w:val="en-US" w:eastAsia="zh-CN"/>
        </w:rPr>
        <w:t xml:space="preserve"> </w:t>
      </w:r>
      <w:r w:rsidR="00AA70AF">
        <w:rPr>
          <w:rFonts w:eastAsia="SimSun"/>
          <w:lang w:val="en-US" w:eastAsia="zh-CN"/>
        </w:rPr>
        <w:fldChar w:fldCharType="begin"/>
      </w:r>
      <w:r w:rsidR="00AA70AF">
        <w:rPr>
          <w:rFonts w:eastAsia="SimSun"/>
          <w:lang w:val="en-US" w:eastAsia="zh-CN"/>
        </w:rPr>
        <w:instrText xml:space="preserve"> REF _Ref85793724 \r \h </w:instrText>
      </w:r>
      <w:r w:rsidR="00AA70AF">
        <w:rPr>
          <w:rFonts w:eastAsia="SimSun"/>
          <w:lang w:val="en-US" w:eastAsia="zh-CN"/>
        </w:rPr>
      </w:r>
      <w:r w:rsidR="00AA70AF">
        <w:rPr>
          <w:rFonts w:eastAsia="SimSun"/>
          <w:lang w:val="en-US" w:eastAsia="zh-CN"/>
        </w:rPr>
        <w:fldChar w:fldCharType="separate"/>
      </w:r>
      <w:r w:rsidR="005E4394">
        <w:rPr>
          <w:rFonts w:eastAsia="SimSun"/>
          <w:lang w:val="en-US" w:eastAsia="zh-CN"/>
        </w:rPr>
        <w:t>[1]</w:t>
      </w:r>
      <w:r w:rsidR="00AA70AF">
        <w:rPr>
          <w:rFonts w:eastAsia="SimSun"/>
          <w:lang w:val="en-US" w:eastAsia="zh-CN"/>
        </w:rPr>
        <w:fldChar w:fldCharType="end"/>
      </w:r>
      <w:r w:rsidRPr="009E0672">
        <w:rPr>
          <w:rFonts w:eastAsia="SimSun"/>
          <w:lang w:val="en-US" w:eastAsia="zh-CN"/>
        </w:rPr>
        <w:t>:</w:t>
      </w:r>
    </w:p>
    <w:tbl>
      <w:tblPr>
        <w:tblStyle w:val="TableGrid"/>
        <w:tblW w:w="0" w:type="auto"/>
        <w:tblLook w:val="04A0" w:firstRow="1" w:lastRow="0" w:firstColumn="1" w:lastColumn="0" w:noHBand="0" w:noVBand="1"/>
      </w:tblPr>
      <w:tblGrid>
        <w:gridCol w:w="9629"/>
      </w:tblGrid>
      <w:tr w:rsidR="00210915" w14:paraId="2CE50B09" w14:textId="77777777" w:rsidTr="008C5B66">
        <w:tc>
          <w:tcPr>
            <w:tcW w:w="9631" w:type="dxa"/>
          </w:tcPr>
          <w:p w14:paraId="012252CC" w14:textId="77777777" w:rsidR="00210915" w:rsidRDefault="00210915" w:rsidP="00210915">
            <w:pPr>
              <w:numPr>
                <w:ilvl w:val="0"/>
                <w:numId w:val="34"/>
              </w:numPr>
              <w:overflowPunct w:val="0"/>
              <w:autoSpaceDE w:val="0"/>
              <w:autoSpaceDN w:val="0"/>
              <w:adjustRightInd w:val="0"/>
              <w:spacing w:after="0"/>
              <w:ind w:left="360"/>
              <w:jc w:val="both"/>
              <w:textAlignment w:val="baseline"/>
              <w:rPr>
                <w:bCs/>
              </w:rPr>
            </w:pPr>
            <w:r>
              <w:rPr>
                <w:bCs/>
              </w:rPr>
              <w:t>Enhancements for support of time synchronization:</w:t>
            </w:r>
          </w:p>
          <w:p w14:paraId="1CCF0612" w14:textId="77777777" w:rsidR="00210915" w:rsidRDefault="00210915" w:rsidP="00210915">
            <w:pPr>
              <w:numPr>
                <w:ilvl w:val="0"/>
                <w:numId w:val="35"/>
              </w:numPr>
              <w:overflowPunct w:val="0"/>
              <w:autoSpaceDE w:val="0"/>
              <w:autoSpaceDN w:val="0"/>
              <w:adjustRightInd w:val="0"/>
              <w:spacing w:after="0"/>
              <w:ind w:left="1080"/>
              <w:jc w:val="both"/>
              <w:textAlignment w:val="baseline"/>
              <w:rPr>
                <w:bCs/>
              </w:rPr>
            </w:pPr>
            <w:r>
              <w:t>RAN impacts of SA2 work on uplink time synchronization for TSN, if any.</w:t>
            </w:r>
            <w:r>
              <w:rPr>
                <w:bCs/>
              </w:rPr>
              <w:t xml:space="preserve"> [RAN2]</w:t>
            </w:r>
          </w:p>
          <w:p w14:paraId="4D28AF97" w14:textId="77777777" w:rsidR="00210915" w:rsidRPr="009E0672" w:rsidRDefault="00210915" w:rsidP="00210915">
            <w:pPr>
              <w:numPr>
                <w:ilvl w:val="0"/>
                <w:numId w:val="35"/>
              </w:numPr>
              <w:overflowPunct w:val="0"/>
              <w:autoSpaceDE w:val="0"/>
              <w:autoSpaceDN w:val="0"/>
              <w:adjustRightInd w:val="0"/>
              <w:spacing w:after="0"/>
              <w:ind w:left="1080"/>
              <w:jc w:val="both"/>
              <w:textAlignment w:val="baseline"/>
              <w:rPr>
                <w:bCs/>
              </w:rPr>
            </w:pPr>
            <w:r w:rsidRPr="009E0672">
              <w:rPr>
                <w:bCs/>
              </w:rPr>
              <w:t>Propagation delay compensation enhancements (including mobility issues, if any). [RAN2, RAN1, RAN3, RAN4]</w:t>
            </w:r>
          </w:p>
        </w:tc>
      </w:tr>
    </w:tbl>
    <w:p w14:paraId="2AD02177" w14:textId="38D52318" w:rsidR="00735153" w:rsidRDefault="00735153" w:rsidP="00210915">
      <w:pPr>
        <w:spacing w:before="120" w:after="120"/>
        <w:jc w:val="both"/>
        <w:textAlignment w:val="center"/>
        <w:rPr>
          <w:rFonts w:eastAsia="SimSun"/>
          <w:color w:val="000000" w:themeColor="text1"/>
          <w:lang w:val="en-US" w:eastAsia="zh-CN"/>
        </w:rPr>
      </w:pPr>
      <w:r>
        <w:rPr>
          <w:rFonts w:eastAsia="SimSun"/>
          <w:color w:val="000000" w:themeColor="text1"/>
          <w:lang w:val="en-US" w:eastAsia="zh-CN"/>
        </w:rPr>
        <w:t>Furthermore, RAN4 received an LS from RAN1 with the following questions</w:t>
      </w:r>
      <w:r w:rsidR="00AA70AF">
        <w:rPr>
          <w:rFonts w:eastAsia="SimSun"/>
          <w:color w:val="000000" w:themeColor="text1"/>
          <w:lang w:val="en-US" w:eastAsia="zh-CN"/>
        </w:rPr>
        <w:t xml:space="preserve"> </w:t>
      </w:r>
      <w:r w:rsidR="0058542E">
        <w:rPr>
          <w:rFonts w:eastAsia="SimSun"/>
          <w:color w:val="000000" w:themeColor="text1"/>
          <w:lang w:val="en-US" w:eastAsia="zh-CN"/>
        </w:rPr>
        <w:fldChar w:fldCharType="begin"/>
      </w:r>
      <w:r w:rsidR="0058542E">
        <w:rPr>
          <w:rFonts w:eastAsia="SimSun"/>
          <w:color w:val="000000" w:themeColor="text1"/>
          <w:lang w:val="en-US" w:eastAsia="zh-CN"/>
        </w:rPr>
        <w:instrText xml:space="preserve"> REF _Ref85793766 \r \h </w:instrText>
      </w:r>
      <w:r w:rsidR="0058542E">
        <w:rPr>
          <w:rFonts w:eastAsia="SimSun"/>
          <w:color w:val="000000" w:themeColor="text1"/>
          <w:lang w:val="en-US" w:eastAsia="zh-CN"/>
        </w:rPr>
      </w:r>
      <w:r w:rsidR="0058542E">
        <w:rPr>
          <w:rFonts w:eastAsia="SimSun"/>
          <w:color w:val="000000" w:themeColor="text1"/>
          <w:lang w:val="en-US" w:eastAsia="zh-CN"/>
        </w:rPr>
        <w:fldChar w:fldCharType="separate"/>
      </w:r>
      <w:r w:rsidR="005E4394">
        <w:rPr>
          <w:rFonts w:eastAsia="SimSun"/>
          <w:color w:val="000000" w:themeColor="text1"/>
          <w:lang w:val="en-US" w:eastAsia="zh-CN"/>
        </w:rPr>
        <w:t>[2]</w:t>
      </w:r>
      <w:r w:rsidR="0058542E">
        <w:rPr>
          <w:rFonts w:eastAsia="SimSun"/>
          <w:color w:val="000000" w:themeColor="text1"/>
          <w:lang w:val="en-US" w:eastAsia="zh-CN"/>
        </w:rPr>
        <w:fldChar w:fldCharType="end"/>
      </w:r>
      <w:r>
        <w:rPr>
          <w:rFonts w:eastAsia="SimSun"/>
          <w:color w:val="000000" w:themeColor="text1"/>
          <w:lang w:val="en-US" w:eastAsia="zh-CN"/>
        </w:rPr>
        <w:t>:</w:t>
      </w:r>
    </w:p>
    <w:tbl>
      <w:tblPr>
        <w:tblStyle w:val="TableGrid"/>
        <w:tblW w:w="0" w:type="auto"/>
        <w:tblLook w:val="04A0" w:firstRow="1" w:lastRow="0" w:firstColumn="1" w:lastColumn="0" w:noHBand="0" w:noVBand="1"/>
      </w:tblPr>
      <w:tblGrid>
        <w:gridCol w:w="9629"/>
      </w:tblGrid>
      <w:tr w:rsidR="005657D2" w14:paraId="720763B6" w14:textId="77777777" w:rsidTr="005657D2">
        <w:tc>
          <w:tcPr>
            <w:tcW w:w="9629" w:type="dxa"/>
          </w:tcPr>
          <w:p w14:paraId="2089201A" w14:textId="77777777" w:rsidR="005657D2" w:rsidRPr="005657D2" w:rsidRDefault="005657D2" w:rsidP="005657D2">
            <w:pPr>
              <w:spacing w:afterLines="100" w:after="240"/>
              <w:jc w:val="both"/>
              <w:rPr>
                <w:rFonts w:cstheme="minorHAnsi"/>
              </w:rPr>
            </w:pPr>
            <w:r w:rsidRPr="005657D2">
              <w:rPr>
                <w:rFonts w:cstheme="minorHAnsi"/>
              </w:rPr>
              <w:t>In order to evaluate the performance achievable by TA</w:t>
            </w:r>
            <w:r w:rsidRPr="005657D2">
              <w:rPr>
                <w:rFonts w:cstheme="minorHAnsi"/>
                <w:lang w:eastAsia="zh-CN"/>
              </w:rPr>
              <w:t>-</w:t>
            </w:r>
            <w:r w:rsidRPr="005657D2">
              <w:rPr>
                <w:rFonts w:cstheme="minorHAnsi"/>
              </w:rPr>
              <w:t>based PDC in Rel-17, RAN1 identified the following questions that need feedback from RAN4</w:t>
            </w:r>
            <w:r w:rsidRPr="005657D2">
              <w:rPr>
                <w:rFonts w:cstheme="minorHAnsi"/>
                <w:lang w:eastAsia="zh-CN"/>
              </w:rPr>
              <w:t>:</w:t>
            </w:r>
            <w:r w:rsidRPr="005657D2">
              <w:rPr>
                <w:rFonts w:cstheme="minorHAnsi"/>
              </w:rPr>
              <w:t xml:space="preserve"> </w:t>
            </w:r>
          </w:p>
          <w:p w14:paraId="47A136F9" w14:textId="77777777" w:rsidR="005657D2" w:rsidRPr="005657D2" w:rsidRDefault="005657D2" w:rsidP="005657D2">
            <w:pPr>
              <w:spacing w:afterLines="100" w:after="240"/>
              <w:jc w:val="both"/>
              <w:rPr>
                <w:rFonts w:cstheme="minorHAnsi"/>
              </w:rPr>
            </w:pPr>
            <w:r w:rsidRPr="005657D2">
              <w:rPr>
                <w:rFonts w:cstheme="minorHAnsi"/>
                <w:b/>
              </w:rPr>
              <w:t>Question 1</w:t>
            </w:r>
            <w:r w:rsidRPr="005657D2">
              <w:rPr>
                <w:rFonts w:cstheme="minorHAnsi"/>
              </w:rPr>
              <w:t xml:space="preserve">: </w:t>
            </w:r>
            <w:r w:rsidRPr="005657D2">
              <w:rPr>
                <w:rFonts w:cstheme="minorHAnsi"/>
                <w:lang w:eastAsia="zh-CN"/>
              </w:rPr>
              <w:t xml:space="preserve">Is it feasible to support a smaller value than the current Te for the use of propagation delay compensation, assuming the existing </w:t>
            </w:r>
            <w:r w:rsidRPr="005657D2">
              <w:rPr>
                <w:rFonts w:cstheme="minorHAnsi"/>
              </w:rPr>
              <w:t xml:space="preserve">conditions in TS 38.133 for Te requirement? If not, is it feasible under </w:t>
            </w:r>
            <w:r w:rsidRPr="005657D2">
              <w:rPr>
                <w:rFonts w:cstheme="minorHAnsi"/>
                <w:lang w:eastAsia="zh-CN"/>
              </w:rPr>
              <w:t xml:space="preserve">new conditions (e.g. using TRS instead of SSB)? If the answer is yes, please also provide feedback on how much it can be reduced </w:t>
            </w:r>
            <w:r w:rsidRPr="005657D2">
              <w:rPr>
                <w:rFonts w:cstheme="minorHAnsi"/>
                <w:b/>
                <w:lang w:eastAsia="zh-CN"/>
              </w:rPr>
              <w:t>at most</w:t>
            </w:r>
            <w:r w:rsidRPr="005657D2">
              <w:rPr>
                <w:rFonts w:cstheme="minorHAnsi"/>
              </w:rPr>
              <w:t xml:space="preserve">. </w:t>
            </w:r>
          </w:p>
          <w:p w14:paraId="0EC6CAC6" w14:textId="77777777" w:rsidR="005657D2" w:rsidRPr="005657D2" w:rsidRDefault="005657D2" w:rsidP="005657D2">
            <w:pPr>
              <w:spacing w:afterLines="100" w:after="240"/>
              <w:jc w:val="both"/>
              <w:rPr>
                <w:rFonts w:cstheme="minorHAnsi"/>
              </w:rPr>
            </w:pPr>
            <w:r w:rsidRPr="005657D2">
              <w:rPr>
                <w:rFonts w:cstheme="minorHAnsi"/>
                <w:b/>
              </w:rPr>
              <w:t>Question 2</w:t>
            </w:r>
            <w:r w:rsidRPr="005657D2">
              <w:rPr>
                <w:rFonts w:cstheme="minorHAnsi"/>
              </w:rPr>
              <w:t xml:space="preserve">: </w:t>
            </w:r>
            <w:r w:rsidRPr="005657D2">
              <w:rPr>
                <w:rFonts w:cstheme="minorHAnsi"/>
                <w:lang w:eastAsia="zh-CN"/>
              </w:rPr>
              <w:t xml:space="preserve">Is it feasible to introduce enhanced TA command indication granularity? If the answer is yes, please also provide feedback on how much it can be reduced </w:t>
            </w:r>
            <w:r w:rsidRPr="005657D2">
              <w:rPr>
                <w:rFonts w:cstheme="minorHAnsi"/>
                <w:b/>
                <w:lang w:eastAsia="zh-CN"/>
              </w:rPr>
              <w:t>at most (</w:t>
            </w:r>
            <w:r w:rsidRPr="005657D2">
              <w:rPr>
                <w:rFonts w:cstheme="minorHAnsi"/>
                <w:lang w:eastAsia="zh-CN"/>
              </w:rPr>
              <w:t>e.</w:t>
            </w:r>
            <w:r w:rsidRPr="005657D2">
              <w:rPr>
                <w:rFonts w:cstheme="minorHAnsi"/>
                <w:color w:val="000000"/>
                <w:lang w:eastAsia="zh-CN"/>
              </w:rPr>
              <w:t>g. reduced to (1/16)*</w:t>
            </w:r>
            <w:r w:rsidRPr="005657D2">
              <w:rPr>
                <w:rFonts w:cstheme="minorHAnsi"/>
                <w:iCs/>
                <w:color w:val="000000"/>
                <w:lang w:eastAsia="zh-CN"/>
              </w:rPr>
              <w:t xml:space="preserve"> (16*64*T</w:t>
            </w:r>
            <w:r w:rsidRPr="005657D2">
              <w:rPr>
                <w:rFonts w:cstheme="minorHAnsi"/>
                <w:iCs/>
                <w:color w:val="000000"/>
                <w:vertAlign w:val="subscript"/>
                <w:lang w:eastAsia="zh-CN"/>
              </w:rPr>
              <w:t>c</w:t>
            </w:r>
            <w:r w:rsidRPr="005657D2">
              <w:rPr>
                <w:rFonts w:cstheme="minorHAnsi"/>
                <w:iCs/>
                <w:color w:val="000000"/>
                <w:lang w:eastAsia="zh-CN"/>
              </w:rPr>
              <w:t>/2</w:t>
            </w:r>
            <w:r w:rsidRPr="005657D2">
              <w:rPr>
                <w:rFonts w:cstheme="minorHAnsi"/>
                <w:iCs/>
                <w:color w:val="000000"/>
                <w:vertAlign w:val="superscript"/>
                <w:lang w:eastAsia="zh-CN"/>
              </w:rPr>
              <w:sym w:font="Symbol" w:char="F06D"/>
            </w:r>
            <w:r w:rsidRPr="005657D2">
              <w:rPr>
                <w:rFonts w:cstheme="minorHAnsi"/>
                <w:iCs/>
                <w:color w:val="000000"/>
                <w:lang w:eastAsia="zh-CN"/>
              </w:rPr>
              <w:t>),</w:t>
            </w:r>
            <w:r w:rsidRPr="005657D2">
              <w:rPr>
                <w:rFonts w:cstheme="minorHAnsi"/>
                <w:b/>
                <w:color w:val="000000"/>
                <w:lang w:eastAsia="zh-CN"/>
              </w:rPr>
              <w:t xml:space="preserve"> </w:t>
            </w:r>
            <w:r w:rsidRPr="005657D2">
              <w:rPr>
                <w:rFonts w:cstheme="minorHAnsi"/>
                <w:iCs/>
                <w:color w:val="000000"/>
              </w:rPr>
              <w:t>similar as the granularity for Rel-16 IAB based on the Timing Delta MAC CE)</w:t>
            </w:r>
            <w:r w:rsidRPr="005657D2">
              <w:rPr>
                <w:rFonts w:cstheme="minorHAnsi"/>
                <w:b/>
                <w:lang w:eastAsia="zh-CN"/>
              </w:rPr>
              <w:t xml:space="preserve"> and related condition</w:t>
            </w:r>
            <w:r w:rsidRPr="005657D2">
              <w:rPr>
                <w:rFonts w:cstheme="minorHAnsi"/>
                <w:lang w:eastAsia="zh-CN"/>
              </w:rPr>
              <w:t>.</w:t>
            </w:r>
          </w:p>
          <w:p w14:paraId="7B5DB903" w14:textId="77777777" w:rsidR="005657D2" w:rsidRPr="005657D2" w:rsidRDefault="005657D2" w:rsidP="005657D2">
            <w:pPr>
              <w:autoSpaceDE w:val="0"/>
              <w:autoSpaceDN w:val="0"/>
              <w:snapToGrid w:val="0"/>
              <w:spacing w:beforeLines="50" w:before="120" w:after="240"/>
              <w:contextualSpacing/>
              <w:jc w:val="both"/>
              <w:rPr>
                <w:rFonts w:cstheme="minorHAnsi"/>
                <w:iCs/>
                <w:lang w:eastAsia="zh-CN"/>
              </w:rPr>
            </w:pPr>
            <w:r w:rsidRPr="005657D2">
              <w:rPr>
                <w:rFonts w:cstheme="minorHAnsi"/>
                <w:iCs/>
                <w:lang w:eastAsia="zh-CN"/>
              </w:rPr>
              <w:t>In addition, the following two addition points are for RAN4 information:</w:t>
            </w:r>
          </w:p>
          <w:p w14:paraId="558F92F0" w14:textId="77777777" w:rsidR="005657D2" w:rsidRPr="005657D2" w:rsidRDefault="005657D2" w:rsidP="005657D2">
            <w:pPr>
              <w:numPr>
                <w:ilvl w:val="0"/>
                <w:numId w:val="32"/>
              </w:numPr>
              <w:autoSpaceDE w:val="0"/>
              <w:autoSpaceDN w:val="0"/>
              <w:adjustRightInd w:val="0"/>
              <w:snapToGrid w:val="0"/>
              <w:spacing w:beforeLines="50" w:before="120" w:after="120"/>
              <w:ind w:left="714" w:hanging="357"/>
              <w:contextualSpacing/>
              <w:jc w:val="both"/>
              <w:rPr>
                <w:rFonts w:cstheme="minorHAnsi"/>
                <w:lang w:val="en-US"/>
              </w:rPr>
            </w:pPr>
            <w:r w:rsidRPr="005657D2">
              <w:rPr>
                <w:rFonts w:cstheme="minorHAnsi"/>
                <w:bCs/>
                <w:lang w:val="en-US"/>
              </w:rPr>
              <w:t>Enhancements</w:t>
            </w:r>
            <w:r w:rsidRPr="005657D2">
              <w:rPr>
                <w:rFonts w:cstheme="minorHAnsi"/>
              </w:rPr>
              <w:t xml:space="preserve"> on Te and TA command indication granularity for propagation delay compensation may or may not have impact on normal TA related procedure, depending on which candidate option for TA-based PDC is adopted. </w:t>
            </w:r>
          </w:p>
          <w:p w14:paraId="3BA2DD0F" w14:textId="3B4D9FB2" w:rsidR="005657D2" w:rsidRPr="005657D2" w:rsidRDefault="005657D2" w:rsidP="005657D2">
            <w:pPr>
              <w:numPr>
                <w:ilvl w:val="0"/>
                <w:numId w:val="32"/>
              </w:numPr>
              <w:autoSpaceDE w:val="0"/>
              <w:autoSpaceDN w:val="0"/>
              <w:adjustRightInd w:val="0"/>
              <w:snapToGrid w:val="0"/>
              <w:spacing w:beforeLines="50" w:before="120" w:after="120"/>
              <w:ind w:left="714" w:hanging="357"/>
              <w:contextualSpacing/>
              <w:jc w:val="both"/>
              <w:rPr>
                <w:rFonts w:ascii="Arial" w:hAnsi="Arial" w:cs="Arial"/>
              </w:rPr>
            </w:pPr>
            <w:r w:rsidRPr="005657D2">
              <w:rPr>
                <w:rFonts w:cstheme="minorHAnsi"/>
              </w:rPr>
              <w:t>Whether RAN1 will introduce specification enhancements is still undetermined.</w:t>
            </w:r>
            <w:r>
              <w:rPr>
                <w:rFonts w:ascii="Arial" w:hAnsi="Arial" w:cs="Arial"/>
              </w:rPr>
              <w:t xml:space="preserve">  </w:t>
            </w:r>
            <w:r w:rsidRPr="00561E8F">
              <w:rPr>
                <w:rFonts w:ascii="Arial" w:hAnsi="Arial" w:cs="Arial"/>
              </w:rPr>
              <w:t xml:space="preserve"> </w:t>
            </w:r>
          </w:p>
        </w:tc>
      </w:tr>
    </w:tbl>
    <w:p w14:paraId="69E52BE3" w14:textId="0DA0A45B" w:rsidR="00210915" w:rsidRPr="000460EA" w:rsidRDefault="00210915" w:rsidP="00210915">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Pr>
          <w:rFonts w:eastAsia="SimSun"/>
          <w:color w:val="000000" w:themeColor="text1"/>
          <w:lang w:val="en-US" w:eastAsia="zh-CN"/>
        </w:rPr>
        <w:t>we aim to provide discussion on the timing error for different use cases</w:t>
      </w:r>
      <w:r w:rsidR="00735153">
        <w:rPr>
          <w:rFonts w:eastAsia="SimSun"/>
          <w:color w:val="000000" w:themeColor="text1"/>
          <w:lang w:val="en-US" w:eastAsia="zh-CN"/>
        </w:rPr>
        <w:t xml:space="preserve"> and we provide LS response to RAN1</w:t>
      </w:r>
      <w:r>
        <w:rPr>
          <w:rFonts w:eastAsia="SimSun"/>
          <w:color w:val="000000" w:themeColor="text1"/>
          <w:lang w:val="en-US" w:eastAsia="zh-CN"/>
        </w:rPr>
        <w:t>.</w:t>
      </w:r>
    </w:p>
    <w:p w14:paraId="0FC2B63D" w14:textId="509A7B80" w:rsidR="00643E69" w:rsidRPr="00643E69" w:rsidRDefault="00210915" w:rsidP="00643E69">
      <w:pPr>
        <w:pStyle w:val="Heading1"/>
        <w:numPr>
          <w:ilvl w:val="0"/>
          <w:numId w:val="1"/>
        </w:numPr>
        <w:rPr>
          <w:rFonts w:ascii="Calibri" w:hAnsi="Calibri"/>
        </w:rPr>
      </w:pPr>
      <w:bookmarkStart w:id="0" w:name="_Ref23587092"/>
      <w:r>
        <w:rPr>
          <w:rFonts w:ascii="Calibri" w:hAnsi="Calibri"/>
        </w:rPr>
        <w:t>Timing synchroni</w:t>
      </w:r>
      <w:r w:rsidR="00032253">
        <w:rPr>
          <w:rFonts w:ascii="Calibri" w:hAnsi="Calibri"/>
        </w:rPr>
        <w:t>z</w:t>
      </w:r>
      <w:r>
        <w:rPr>
          <w:rFonts w:ascii="Calibri" w:hAnsi="Calibri"/>
        </w:rPr>
        <w:t xml:space="preserve">ation requirement </w:t>
      </w:r>
    </w:p>
    <w:bookmarkEnd w:id="0"/>
    <w:p w14:paraId="113625E8" w14:textId="786EBDAD" w:rsidR="00210915" w:rsidRDefault="00210915" w:rsidP="00210915">
      <w:pPr>
        <w:spacing w:before="120" w:after="120"/>
        <w:jc w:val="both"/>
        <w:textAlignment w:val="center"/>
        <w:rPr>
          <w:lang w:eastAsia="ko-KR"/>
        </w:rPr>
      </w:pPr>
      <w:r>
        <w:rPr>
          <w:lang w:eastAsia="ko-KR"/>
        </w:rPr>
        <w:t>The clock synchronisation service performance requirements for 5G systems are given in Table 5.6.2-1 in</w:t>
      </w:r>
      <w:r w:rsidR="005A44A5">
        <w:rPr>
          <w:lang w:eastAsia="ko-KR"/>
        </w:rPr>
        <w:t xml:space="preserve"> </w:t>
      </w:r>
      <w:r w:rsidR="005A44A5">
        <w:rPr>
          <w:lang w:eastAsia="ko-KR"/>
        </w:rPr>
        <w:fldChar w:fldCharType="begin"/>
      </w:r>
      <w:r w:rsidR="005A44A5">
        <w:rPr>
          <w:lang w:eastAsia="ko-KR"/>
        </w:rPr>
        <w:instrText xml:space="preserve"> REF _Ref79143075 \r \h </w:instrText>
      </w:r>
      <w:r w:rsidR="005A44A5">
        <w:rPr>
          <w:lang w:eastAsia="ko-KR"/>
        </w:rPr>
      </w:r>
      <w:r w:rsidR="005A44A5">
        <w:rPr>
          <w:lang w:eastAsia="ko-KR"/>
        </w:rPr>
        <w:fldChar w:fldCharType="separate"/>
      </w:r>
      <w:r w:rsidR="005E4394">
        <w:rPr>
          <w:lang w:eastAsia="ko-KR"/>
        </w:rPr>
        <w:t>[3]</w:t>
      </w:r>
      <w:r w:rsidR="005A44A5">
        <w:rPr>
          <w:lang w:eastAsia="ko-KR"/>
        </w:rPr>
        <w:fldChar w:fldCharType="end"/>
      </w:r>
      <w:r>
        <w:rPr>
          <w:lang w:eastAsia="ko-KR"/>
        </w:rPr>
        <w:t>, which defines the 5G system (5GS) synchronicity budget requirements for five services/use cases. The defined synchronicity budgets are the time error between the ingress and egress of the 5G system. Two use cases are agreed on in RAN1#102e meeting to be used as representative use cases, which are the control-to-control and the smart grid use cases. The 5GS synchronicity budget requirements for the respective two use cases are equal to 900 ns and 1000 ns. Also, it was agreed in RAN1#102e meeting that two Uu interfaces are involved for control-to-control scenario and one Uu interface is involved for smart grid scenario. Furthermore, in RAN2 LS</w:t>
      </w:r>
      <w:r w:rsidR="005A44A5">
        <w:rPr>
          <w:lang w:eastAsia="ko-KR"/>
        </w:rPr>
        <w:t xml:space="preserve"> </w:t>
      </w:r>
      <w:r w:rsidR="005A44A5">
        <w:rPr>
          <w:lang w:eastAsia="ko-KR"/>
        </w:rPr>
        <w:fldChar w:fldCharType="begin"/>
      </w:r>
      <w:r w:rsidR="005A44A5">
        <w:rPr>
          <w:lang w:eastAsia="ko-KR"/>
        </w:rPr>
        <w:instrText xml:space="preserve"> REF _Ref79143092 \r \h </w:instrText>
      </w:r>
      <w:r w:rsidR="005A44A5">
        <w:rPr>
          <w:lang w:eastAsia="ko-KR"/>
        </w:rPr>
      </w:r>
      <w:r w:rsidR="005A44A5">
        <w:rPr>
          <w:lang w:eastAsia="ko-KR"/>
        </w:rPr>
        <w:fldChar w:fldCharType="separate"/>
      </w:r>
      <w:r w:rsidR="005E4394">
        <w:rPr>
          <w:lang w:eastAsia="ko-KR"/>
        </w:rPr>
        <w:t>[4]</w:t>
      </w:r>
      <w:r w:rsidR="005A44A5">
        <w:rPr>
          <w:lang w:eastAsia="ko-KR"/>
        </w:rPr>
        <w:fldChar w:fldCharType="end"/>
      </w:r>
      <w:r>
        <w:rPr>
          <w:lang w:eastAsia="ko-KR"/>
        </w:rPr>
        <w:t>, the agreed synchronicity budget per Uu interface is:</w:t>
      </w:r>
    </w:p>
    <w:p w14:paraId="6558E8C1" w14:textId="69B64357" w:rsidR="00210915" w:rsidRDefault="00210915" w:rsidP="00210915">
      <w:pPr>
        <w:spacing w:after="0"/>
        <w:jc w:val="center"/>
        <w:rPr>
          <w:lang w:eastAsia="ko-KR"/>
        </w:rPr>
      </w:pPr>
      <w:bookmarkStart w:id="1" w:name="_Ref47480467"/>
      <w:r w:rsidRPr="00417C8D">
        <w:lastRenderedPageBreak/>
        <w:t xml:space="preserve">Table </w:t>
      </w:r>
      <w:r w:rsidR="00D668CF">
        <w:fldChar w:fldCharType="begin"/>
      </w:r>
      <w:r w:rsidR="00D668CF">
        <w:instrText xml:space="preserve"> SEQ Table \* ARABIC </w:instrText>
      </w:r>
      <w:r w:rsidR="00D668CF">
        <w:fldChar w:fldCharType="separate"/>
      </w:r>
      <w:r w:rsidR="005E4394">
        <w:rPr>
          <w:noProof/>
        </w:rPr>
        <w:t>1</w:t>
      </w:r>
      <w:r w:rsidR="00D668CF">
        <w:rPr>
          <w:noProof/>
        </w:rPr>
        <w:fldChar w:fldCharType="end"/>
      </w:r>
      <w:bookmarkEnd w:id="1"/>
      <w:r w:rsidRPr="00417C8D">
        <w:t>:</w:t>
      </w:r>
      <w:r w:rsidRPr="00922E39">
        <w:t xml:space="preserve"> </w:t>
      </w:r>
      <w:r>
        <w:t xml:space="preserve">Timing </w:t>
      </w:r>
      <w:r>
        <w:rPr>
          <w:rFonts w:eastAsia="SimSun"/>
          <w:lang w:val="en-US" w:eastAsia="zh-CN"/>
        </w:rPr>
        <w:t xml:space="preserve">synchronization </w:t>
      </w:r>
      <w:r>
        <w:t xml:space="preserve">budget per Uu interface </w:t>
      </w:r>
      <w:r w:rsidR="005A44A5">
        <w:fldChar w:fldCharType="begin"/>
      </w:r>
      <w:r w:rsidR="005A44A5">
        <w:instrText xml:space="preserve"> REF _Ref79143092 \r \h </w:instrText>
      </w:r>
      <w:r w:rsidR="005A44A5">
        <w:fldChar w:fldCharType="separate"/>
      </w:r>
      <w:r w:rsidR="005E4394">
        <w:t>[4]</w:t>
      </w:r>
      <w:r w:rsidR="005A44A5">
        <w:fldChar w:fldCharType="end"/>
      </w:r>
    </w:p>
    <w:tbl>
      <w:tblPr>
        <w:tblStyle w:val="TableGrid"/>
        <w:tblW w:w="0" w:type="auto"/>
        <w:jc w:val="center"/>
        <w:tblLook w:val="04A0" w:firstRow="1" w:lastRow="0" w:firstColumn="1" w:lastColumn="0" w:noHBand="0" w:noVBand="1"/>
      </w:tblPr>
      <w:tblGrid>
        <w:gridCol w:w="2300"/>
        <w:gridCol w:w="2633"/>
      </w:tblGrid>
      <w:tr w:rsidR="00210915" w14:paraId="36A75764" w14:textId="77777777" w:rsidTr="008C5B66">
        <w:trPr>
          <w:trHeight w:val="265"/>
          <w:jc w:val="center"/>
        </w:trPr>
        <w:tc>
          <w:tcPr>
            <w:tcW w:w="2300" w:type="dxa"/>
          </w:tcPr>
          <w:p w14:paraId="1EE62C27" w14:textId="77777777" w:rsidR="00210915" w:rsidRPr="00E933E0" w:rsidRDefault="00210915" w:rsidP="008C5B66">
            <w:pPr>
              <w:contextualSpacing/>
              <w:jc w:val="both"/>
              <w:rPr>
                <w:b/>
                <w:lang w:eastAsia="ko-KR"/>
              </w:rPr>
            </w:pPr>
            <w:r w:rsidRPr="00E933E0">
              <w:rPr>
                <w:b/>
                <w:lang w:eastAsia="ko-KR"/>
              </w:rPr>
              <w:t>Scenario</w:t>
            </w:r>
          </w:p>
        </w:tc>
        <w:tc>
          <w:tcPr>
            <w:tcW w:w="2633" w:type="dxa"/>
          </w:tcPr>
          <w:p w14:paraId="7F388731" w14:textId="77777777" w:rsidR="00210915" w:rsidRPr="00E933E0" w:rsidRDefault="00210915" w:rsidP="008C5B66">
            <w:pPr>
              <w:contextualSpacing/>
              <w:jc w:val="both"/>
              <w:rPr>
                <w:b/>
                <w:lang w:eastAsia="ko-KR"/>
              </w:rPr>
            </w:pPr>
            <w:r w:rsidRPr="00E933E0">
              <w:rPr>
                <w:b/>
                <w:lang w:eastAsia="ko-KR"/>
              </w:rPr>
              <w:t xml:space="preserve">Single Uu </w:t>
            </w:r>
            <w:r w:rsidRPr="007E4FF7">
              <w:rPr>
                <w:b/>
                <w:lang w:eastAsia="ko-KR"/>
              </w:rPr>
              <w:t>interface</w:t>
            </w:r>
            <w:r w:rsidRPr="00E933E0">
              <w:rPr>
                <w:b/>
                <w:lang w:eastAsia="ko-KR"/>
              </w:rPr>
              <w:t xml:space="preserve"> Budget</w:t>
            </w:r>
          </w:p>
        </w:tc>
      </w:tr>
      <w:tr w:rsidR="00210915" w14:paraId="53696331" w14:textId="77777777" w:rsidTr="008C5B66">
        <w:trPr>
          <w:trHeight w:val="280"/>
          <w:jc w:val="center"/>
        </w:trPr>
        <w:tc>
          <w:tcPr>
            <w:tcW w:w="2300" w:type="dxa"/>
          </w:tcPr>
          <w:p w14:paraId="4CD06315" w14:textId="77777777" w:rsidR="00210915" w:rsidRPr="00E933E0" w:rsidRDefault="00210915" w:rsidP="008C5B66">
            <w:pPr>
              <w:contextualSpacing/>
              <w:jc w:val="both"/>
              <w:rPr>
                <w:lang w:eastAsia="ko-KR"/>
              </w:rPr>
            </w:pPr>
            <w:r w:rsidRPr="00E933E0">
              <w:rPr>
                <w:lang w:eastAsia="ko-KR"/>
              </w:rPr>
              <w:t>Control-to-Control</w:t>
            </w:r>
          </w:p>
        </w:tc>
        <w:tc>
          <w:tcPr>
            <w:tcW w:w="2633" w:type="dxa"/>
          </w:tcPr>
          <w:p w14:paraId="7175E89A" w14:textId="77777777" w:rsidR="00210915" w:rsidRPr="00E933E0" w:rsidRDefault="00210915" w:rsidP="008C5B66">
            <w:pPr>
              <w:contextualSpacing/>
              <w:jc w:val="both"/>
              <w:rPr>
                <w:lang w:eastAsia="ko-KR"/>
              </w:rPr>
            </w:pPr>
            <w:r w:rsidRPr="00E933E0">
              <w:rPr>
                <w:lang w:eastAsia="ko-KR"/>
              </w:rPr>
              <w:t>±145ns to ±275ns</w:t>
            </w:r>
          </w:p>
        </w:tc>
      </w:tr>
      <w:tr w:rsidR="00210915" w14:paraId="26D7954B" w14:textId="77777777" w:rsidTr="008C5B66">
        <w:trPr>
          <w:trHeight w:val="268"/>
          <w:jc w:val="center"/>
        </w:trPr>
        <w:tc>
          <w:tcPr>
            <w:tcW w:w="2300" w:type="dxa"/>
          </w:tcPr>
          <w:p w14:paraId="0D0F2366" w14:textId="77777777" w:rsidR="00210915" w:rsidRPr="007E4FF7" w:rsidRDefault="00210915" w:rsidP="008C5B66">
            <w:pPr>
              <w:contextualSpacing/>
              <w:jc w:val="both"/>
              <w:rPr>
                <w:lang w:eastAsia="ko-KR"/>
              </w:rPr>
            </w:pPr>
            <w:r w:rsidRPr="007E4FF7">
              <w:rPr>
                <w:lang w:eastAsia="ko-KR"/>
              </w:rPr>
              <w:t>Smart Grid</w:t>
            </w:r>
          </w:p>
        </w:tc>
        <w:tc>
          <w:tcPr>
            <w:tcW w:w="2633" w:type="dxa"/>
          </w:tcPr>
          <w:p w14:paraId="18CDB64E" w14:textId="77777777" w:rsidR="00210915" w:rsidRPr="00E933E0" w:rsidRDefault="00210915" w:rsidP="008C5B66">
            <w:pPr>
              <w:contextualSpacing/>
              <w:jc w:val="both"/>
              <w:rPr>
                <w:lang w:eastAsia="ko-KR"/>
              </w:rPr>
            </w:pPr>
            <w:r w:rsidRPr="00E933E0">
              <w:rPr>
                <w:lang w:eastAsia="ko-KR"/>
              </w:rPr>
              <w:t>±795ns to ±845ns</w:t>
            </w:r>
          </w:p>
        </w:tc>
      </w:tr>
    </w:tbl>
    <w:p w14:paraId="2E47A761" w14:textId="4C55F9AE" w:rsidR="00210915" w:rsidRDefault="00210915" w:rsidP="002B6433">
      <w:pPr>
        <w:spacing w:before="120" w:after="120"/>
        <w:jc w:val="both"/>
        <w:textAlignment w:val="center"/>
        <w:rPr>
          <w:rFonts w:eastAsia="SimSun"/>
          <w:lang w:val="en-US" w:eastAsia="zh-CN"/>
        </w:rPr>
      </w:pPr>
      <w:r>
        <w:rPr>
          <w:rFonts w:eastAsia="SimSun"/>
          <w:lang w:val="en-US" w:eastAsia="zh-CN"/>
        </w:rPr>
        <w:t>Where the Uu interface time synchronization budget can be interpreted as the timing error between the UE and the gNB-distribution unit (gNB-DU) for 5G system.</w:t>
      </w:r>
    </w:p>
    <w:p w14:paraId="05079482" w14:textId="396B8043" w:rsidR="002F5FED" w:rsidRDefault="002F5FED" w:rsidP="002F5FED">
      <w:pPr>
        <w:pStyle w:val="ListParagraph"/>
        <w:numPr>
          <w:ilvl w:val="0"/>
          <w:numId w:val="38"/>
        </w:numPr>
        <w:spacing w:after="180"/>
        <w:contextualSpacing w:val="0"/>
        <w:jc w:val="both"/>
        <w:rPr>
          <w:rFonts w:cstheme="minorHAnsi"/>
          <w:b/>
          <w:lang w:eastAsia="ko-KR"/>
        </w:rPr>
      </w:pPr>
      <w:bookmarkStart w:id="2" w:name="_Ref79148056"/>
      <w:r w:rsidRPr="00474D23">
        <w:rPr>
          <w:rFonts w:eastAsia="SimSun"/>
          <w:b/>
          <w:lang w:val="en-US" w:eastAsia="zh-CN"/>
        </w:rPr>
        <w:t>The maximum timing synchronization error for a URLLC UE can be up to ±275ns and ±845ns for control-to-control and smart grid use cases, respectively</w:t>
      </w:r>
      <w:r w:rsidRPr="00D34B64">
        <w:rPr>
          <w:rFonts w:cstheme="minorHAnsi"/>
          <w:b/>
          <w:lang w:eastAsia="ko-KR"/>
        </w:rPr>
        <w:t>.</w:t>
      </w:r>
      <w:bookmarkEnd w:id="2"/>
    </w:p>
    <w:p w14:paraId="371934A0" w14:textId="77777777" w:rsidR="00AE11FC" w:rsidRPr="002F5FED" w:rsidRDefault="00AE11FC" w:rsidP="00AE11FC">
      <w:pPr>
        <w:pStyle w:val="ListParagraph"/>
        <w:spacing w:after="180"/>
        <w:ind w:left="0"/>
        <w:contextualSpacing w:val="0"/>
        <w:jc w:val="both"/>
        <w:rPr>
          <w:rFonts w:cstheme="minorHAnsi"/>
          <w:b/>
          <w:lang w:eastAsia="ko-KR"/>
        </w:rPr>
      </w:pPr>
    </w:p>
    <w:p w14:paraId="0C8B4A42" w14:textId="558E2127" w:rsidR="00A36092" w:rsidRDefault="002B5CA4" w:rsidP="008F1284">
      <w:pPr>
        <w:pStyle w:val="Heading1"/>
        <w:numPr>
          <w:ilvl w:val="0"/>
          <w:numId w:val="1"/>
        </w:numPr>
        <w:rPr>
          <w:rFonts w:ascii="Calibri" w:hAnsi="Calibri"/>
          <w:color w:val="0070C0"/>
          <w:lang w:eastAsia="zh-CN"/>
        </w:rPr>
      </w:pPr>
      <w:r>
        <w:rPr>
          <w:rFonts w:ascii="Calibri" w:hAnsi="Calibri"/>
          <w:color w:val="0070C0"/>
          <w:lang w:eastAsia="zh-CN"/>
        </w:rPr>
        <w:t xml:space="preserve">Discussion on </w:t>
      </w:r>
      <w:r w:rsidR="00A36092">
        <w:rPr>
          <w:rFonts w:ascii="Calibri" w:hAnsi="Calibri"/>
          <w:color w:val="0070C0"/>
          <w:lang w:eastAsia="zh-CN"/>
        </w:rPr>
        <w:t>TA based method for propagation delay compensation</w:t>
      </w:r>
    </w:p>
    <w:p w14:paraId="3262E150" w14:textId="3BF947CB" w:rsidR="00A36092" w:rsidRDefault="00A83673" w:rsidP="00032253">
      <w:pPr>
        <w:jc w:val="both"/>
        <w:rPr>
          <w:lang w:eastAsia="zh-CN"/>
        </w:rPr>
      </w:pPr>
      <w:r>
        <w:rPr>
          <w:lang w:eastAsia="zh-CN"/>
        </w:rPr>
        <w:t>The existing method for propagation delay compensation (PDC) is the timing advanced (TA) based method. The error components that contributes to the total timing error are:</w:t>
      </w:r>
    </w:p>
    <w:p w14:paraId="353B38A8" w14:textId="33ACB01A" w:rsidR="00A83673" w:rsidRDefault="00A83673" w:rsidP="00032253">
      <w:pPr>
        <w:pStyle w:val="ListParagraph"/>
        <w:numPr>
          <w:ilvl w:val="0"/>
          <w:numId w:val="36"/>
        </w:numPr>
        <w:jc w:val="both"/>
        <w:rPr>
          <w:lang w:eastAsia="zh-CN"/>
        </w:rPr>
      </w:pPr>
      <w:r>
        <w:rPr>
          <w:lang w:eastAsia="zh-CN"/>
        </w:rPr>
        <w:t>Timing error related to gNB</w:t>
      </w:r>
      <w:r w:rsidR="00032253">
        <w:rPr>
          <w:lang w:eastAsia="zh-CN"/>
        </w:rPr>
        <w:t>, where this error consists of:</w:t>
      </w:r>
    </w:p>
    <w:p w14:paraId="02ECA061" w14:textId="10A4FE5C" w:rsidR="00032253" w:rsidRPr="00032253" w:rsidRDefault="00032253" w:rsidP="00032253">
      <w:pPr>
        <w:pStyle w:val="ListParagraph"/>
        <w:numPr>
          <w:ilvl w:val="1"/>
          <w:numId w:val="36"/>
        </w:numPr>
        <w:jc w:val="both"/>
        <w:rPr>
          <w:lang w:eastAsia="zh-CN"/>
        </w:rPr>
      </w:pPr>
      <w:r>
        <w:rPr>
          <w:rFonts w:eastAsia="SimSun"/>
          <w:lang w:val="en-US"/>
        </w:rPr>
        <w:t>The time offset between the actual transmission and the assumed transmission.</w:t>
      </w:r>
    </w:p>
    <w:p w14:paraId="47AB45E3" w14:textId="67903748" w:rsidR="00032253" w:rsidRDefault="00032253" w:rsidP="00032253">
      <w:pPr>
        <w:pStyle w:val="ListParagraph"/>
        <w:numPr>
          <w:ilvl w:val="1"/>
          <w:numId w:val="36"/>
        </w:numPr>
        <w:jc w:val="both"/>
        <w:rPr>
          <w:lang w:eastAsia="zh-CN"/>
        </w:rPr>
      </w:pPr>
      <w:r>
        <w:rPr>
          <w:rFonts w:eastAsia="SimSun"/>
          <w:lang w:val="en-US"/>
        </w:rPr>
        <w:t>The frame detection error at the gNB</w:t>
      </w:r>
    </w:p>
    <w:p w14:paraId="317C11C4" w14:textId="08497AF5" w:rsidR="00A83673" w:rsidRDefault="00A83673" w:rsidP="00032253">
      <w:pPr>
        <w:pStyle w:val="ListParagraph"/>
        <w:numPr>
          <w:ilvl w:val="0"/>
          <w:numId w:val="36"/>
        </w:numPr>
        <w:jc w:val="both"/>
        <w:rPr>
          <w:lang w:eastAsia="zh-CN"/>
        </w:rPr>
      </w:pPr>
      <w:r>
        <w:rPr>
          <w:lang w:eastAsia="zh-CN"/>
        </w:rPr>
        <w:t>Timing error related to UE:</w:t>
      </w:r>
      <w:r w:rsidR="00032253">
        <w:rPr>
          <w:lang w:eastAsia="zh-CN"/>
        </w:rPr>
        <w:t xml:space="preserve"> </w:t>
      </w:r>
      <w:r w:rsidR="00032253">
        <w:rPr>
          <w:rFonts w:eastAsia="SimSun"/>
          <w:lang w:val="en-US"/>
        </w:rPr>
        <w:t xml:space="preserve">The UE timing error assumed for evaluation in the discussions of RAN1#102e and RAN1#103e meetings is equal to the requirement of the UE initial timing error, given by Te, and defined in Table 7.1.2-1 in TS 38.133 </w:t>
      </w:r>
      <w:r w:rsidR="00032253">
        <w:rPr>
          <w:rFonts w:eastAsia="SimSun"/>
          <w:lang w:val="en-US"/>
        </w:rPr>
        <w:fldChar w:fldCharType="begin"/>
      </w:r>
      <w:r w:rsidR="00032253">
        <w:rPr>
          <w:rFonts w:eastAsia="SimSun"/>
          <w:lang w:val="en-US"/>
        </w:rPr>
        <w:instrText xml:space="preserve"> REF _Ref67924075 \r \h </w:instrText>
      </w:r>
      <w:r w:rsidR="00032253">
        <w:rPr>
          <w:rFonts w:eastAsia="SimSun"/>
          <w:lang w:val="en-US"/>
        </w:rPr>
      </w:r>
      <w:r w:rsidR="00032253">
        <w:rPr>
          <w:rFonts w:eastAsia="SimSun"/>
          <w:lang w:val="en-US"/>
        </w:rPr>
        <w:fldChar w:fldCharType="separate"/>
      </w:r>
      <w:r w:rsidR="005E4394">
        <w:rPr>
          <w:rFonts w:eastAsia="SimSun"/>
          <w:lang w:val="en-US"/>
        </w:rPr>
        <w:t>[5]</w:t>
      </w:r>
      <w:r w:rsidR="00032253">
        <w:rPr>
          <w:rFonts w:eastAsia="SimSun"/>
          <w:lang w:val="en-US"/>
        </w:rPr>
        <w:fldChar w:fldCharType="end"/>
      </w:r>
      <w:r w:rsidR="00032253">
        <w:rPr>
          <w:rFonts w:eastAsia="SimSun"/>
          <w:lang w:val="en-US"/>
        </w:rPr>
        <w:t>.</w:t>
      </w:r>
    </w:p>
    <w:p w14:paraId="0A2D4BDA" w14:textId="77777777" w:rsidR="005912BF" w:rsidRPr="005912BF" w:rsidRDefault="00A83673" w:rsidP="005912BF">
      <w:pPr>
        <w:pStyle w:val="ListParagraph"/>
        <w:numPr>
          <w:ilvl w:val="0"/>
          <w:numId w:val="36"/>
        </w:numPr>
        <w:jc w:val="both"/>
        <w:rPr>
          <w:lang w:eastAsia="zh-CN"/>
        </w:rPr>
      </w:pPr>
      <w:r>
        <w:rPr>
          <w:lang w:eastAsia="zh-CN"/>
        </w:rPr>
        <w:t xml:space="preserve">Indicating granularity error: </w:t>
      </w:r>
      <w:r w:rsidR="00032253">
        <w:rPr>
          <w:rFonts w:eastAsia="SimSun"/>
          <w:lang w:val="en-US" w:eastAsia="zh-CN"/>
        </w:rPr>
        <w:t>Indicating the TA could cause additional timing error, which can be as large as half of the indicating granularity</w:t>
      </w:r>
      <w:r w:rsidR="005912BF">
        <w:rPr>
          <w:rFonts w:eastAsia="SimSun"/>
          <w:lang w:val="en-US" w:eastAsia="zh-CN"/>
        </w:rPr>
        <w:t>. The error calculated as:</w:t>
      </w:r>
    </w:p>
    <w:p w14:paraId="60DCD9A4" w14:textId="06C39821" w:rsidR="00A83673" w:rsidRPr="005912BF" w:rsidRDefault="00775A3A" w:rsidP="005912BF">
      <w:pPr>
        <w:pStyle w:val="ListParagraph"/>
        <w:numPr>
          <w:ilvl w:val="1"/>
          <w:numId w:val="36"/>
        </w:numPr>
        <w:jc w:val="both"/>
        <w:rPr>
          <w:lang w:eastAsia="zh-CN"/>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ind granularity</m:t>
            </m:r>
          </m:sub>
        </m:sSub>
        <m:r>
          <w:rPr>
            <w:rFonts w:ascii="Cambria Math" w:eastAsia="SimSun" w:hAnsi="Cambria Math"/>
            <w:lang w:eastAsia="zh-CN"/>
          </w:rPr>
          <m:t>∈</m:t>
        </m:r>
        <m:d>
          <m:dPr>
            <m:begChr m:val="["/>
            <m:endChr m:val="]"/>
            <m:ctrlPr>
              <w:rPr>
                <w:rFonts w:ascii="Cambria Math" w:eastAsia="SimSun" w:hAnsi="Cambria Math"/>
                <w:i/>
                <w:iCs/>
                <w:lang w:eastAsia="zh-CN"/>
              </w:rPr>
            </m:ctrlPr>
          </m:dPr>
          <m:e>
            <m:r>
              <m:rPr>
                <m:sty m:val="p"/>
              </m:rPr>
              <w:rPr>
                <w:rFonts w:ascii="Cambria Math" w:hAnsi="Cambria Math"/>
              </w:rPr>
              <w:sym w:font="Symbol" w:char="F0B1"/>
            </m:r>
            <m:r>
              <m:rPr>
                <m:sty m:val="p"/>
              </m:rPr>
              <w:rPr>
                <w:rFonts w:ascii="Cambria Math" w:hAnsi="Cambria Math"/>
              </w:rPr>
              <m:t>8*64*</m:t>
            </m:r>
            <m:f>
              <m:fPr>
                <m:ctrlPr>
                  <w:rPr>
                    <w:rFonts w:ascii="Cambria Math" w:hAnsi="Cambria Math"/>
                  </w:rPr>
                </m:ctrlPr>
              </m:fPr>
              <m:num>
                <m:r>
                  <m:rPr>
                    <m:sty m:val="p"/>
                  </m:rPr>
                  <w:rPr>
                    <w:rFonts w:ascii="Cambria Math" w:hAnsi="Cambria Math"/>
                  </w:rPr>
                  <m:t>T</m:t>
                </m:r>
                <m:r>
                  <m:rPr>
                    <m:sty m:val="p"/>
                  </m:rPr>
                  <w:rPr>
                    <w:rFonts w:ascii="Cambria Math" w:hAnsi="Cambria Math"/>
                    <w:vertAlign w:val="subscript"/>
                  </w:rPr>
                  <m:t>c</m:t>
                </m:r>
              </m:num>
              <m:den>
                <m:r>
                  <m:rPr>
                    <m:sty m:val="p"/>
                  </m:rPr>
                  <w:rPr>
                    <w:rFonts w:ascii="Cambria Math" w:hAnsi="Cambria Math"/>
                  </w:rPr>
                  <m:t>2</m:t>
                </m:r>
                <m:r>
                  <m:rPr>
                    <m:sty m:val="p"/>
                  </m:rPr>
                  <w:rPr>
                    <w:rFonts w:ascii="Cambria Math" w:hAnsi="Cambria Math"/>
                    <w:vertAlign w:val="superscript"/>
                  </w:rPr>
                  <w:sym w:font="Symbol" w:char="F06D"/>
                </m:r>
              </m:den>
            </m:f>
          </m:e>
        </m:d>
        <m:r>
          <w:rPr>
            <w:rFonts w:ascii="Cambria Math" w:eastAsia="SimSun" w:hAnsi="Cambria Math"/>
            <w:lang w:eastAsia="zh-CN"/>
          </w:rPr>
          <m:t>=[</m:t>
        </m:r>
        <m:r>
          <m:rPr>
            <m:sty m:val="p"/>
          </m:rPr>
          <w:rPr>
            <w:rFonts w:ascii="Cambria Math" w:hAnsi="Cambria Math"/>
          </w:rPr>
          <w:sym w:font="Symbol" w:char="F0B1"/>
        </m:r>
        <m:r>
          <w:rPr>
            <w:rFonts w:ascii="Cambria Math" w:eastAsia="SimSun" w:hAnsi="Cambria Math"/>
            <w:lang w:eastAsia="zh-CN"/>
          </w:rPr>
          <m:t>260 ns for 15 KHz]</m:t>
        </m:r>
      </m:oMath>
      <w:r w:rsidRPr="005912BF">
        <w:rPr>
          <w:rFonts w:eastAsia="SimSun"/>
          <w:lang w:eastAsia="zh-CN"/>
        </w:rPr>
        <w:t>.</w:t>
      </w:r>
    </w:p>
    <w:p w14:paraId="4746E067" w14:textId="77777777" w:rsidR="00AE11FC" w:rsidRPr="002F5FED" w:rsidRDefault="00AE11FC" w:rsidP="00AE11FC">
      <w:pPr>
        <w:pStyle w:val="ListParagraph"/>
        <w:spacing w:after="180"/>
        <w:ind w:left="0"/>
        <w:contextualSpacing w:val="0"/>
        <w:jc w:val="both"/>
        <w:rPr>
          <w:rFonts w:cstheme="minorHAnsi"/>
          <w:b/>
          <w:lang w:eastAsia="ko-KR"/>
        </w:rPr>
      </w:pPr>
    </w:p>
    <w:p w14:paraId="051B99D3" w14:textId="4C23E0B0" w:rsidR="00AE11FC" w:rsidRDefault="00AE11FC" w:rsidP="00AE11FC">
      <w:pPr>
        <w:pStyle w:val="Heading1"/>
        <w:numPr>
          <w:ilvl w:val="1"/>
          <w:numId w:val="1"/>
        </w:numPr>
        <w:rPr>
          <w:rFonts w:ascii="Calibri" w:hAnsi="Calibri"/>
          <w:color w:val="0070C0"/>
          <w:lang w:eastAsia="zh-CN"/>
        </w:rPr>
      </w:pPr>
      <w:r>
        <w:rPr>
          <w:rFonts w:ascii="Calibri" w:hAnsi="Calibri"/>
          <w:color w:val="0070C0"/>
          <w:lang w:eastAsia="zh-CN"/>
        </w:rPr>
        <w:t>UL timing (Te) error</w:t>
      </w:r>
    </w:p>
    <w:p w14:paraId="10D02111" w14:textId="72320771" w:rsidR="009D3EA2" w:rsidRDefault="005912BF" w:rsidP="005912BF">
      <w:pPr>
        <w:jc w:val="both"/>
        <w:rPr>
          <w:lang w:eastAsia="zh-CN"/>
        </w:rPr>
      </w:pPr>
      <w:r>
        <w:rPr>
          <w:lang w:eastAsia="zh-CN"/>
        </w:rPr>
        <w:t>Out of the three main components, only the Te error (</w:t>
      </w:r>
      <w:r>
        <w:rPr>
          <w:rFonts w:eastAsia="SimSun"/>
          <w:lang w:val="en-US"/>
        </w:rPr>
        <w:t xml:space="preserve">Table 7.1.2-1 in </w:t>
      </w:r>
      <w:r>
        <w:rPr>
          <w:rFonts w:eastAsia="SimSun"/>
          <w:lang w:val="en-US"/>
        </w:rPr>
        <w:fldChar w:fldCharType="begin"/>
      </w:r>
      <w:r>
        <w:rPr>
          <w:rFonts w:eastAsia="SimSun"/>
          <w:lang w:val="en-US"/>
        </w:rPr>
        <w:instrText xml:space="preserve"> REF _Ref67924075 \r \h </w:instrText>
      </w:r>
      <w:r>
        <w:rPr>
          <w:rFonts w:eastAsia="SimSun"/>
          <w:lang w:val="en-US"/>
        </w:rPr>
      </w:r>
      <w:r>
        <w:rPr>
          <w:rFonts w:eastAsia="SimSun"/>
          <w:lang w:val="en-US"/>
        </w:rPr>
        <w:fldChar w:fldCharType="separate"/>
      </w:r>
      <w:r w:rsidR="005E4394">
        <w:rPr>
          <w:rFonts w:eastAsia="SimSun"/>
          <w:lang w:val="en-US"/>
        </w:rPr>
        <w:t>[5]</w:t>
      </w:r>
      <w:r>
        <w:rPr>
          <w:rFonts w:eastAsia="SimSun"/>
          <w:lang w:val="en-US"/>
        </w:rPr>
        <w:fldChar w:fldCharType="end"/>
      </w:r>
      <w:r>
        <w:rPr>
          <w:lang w:eastAsia="zh-CN"/>
        </w:rPr>
        <w:t xml:space="preserve">) is related to the RAN4 core requirements and hence we provide some views regarding that. The Te error consists of the following components: (i) timing error in baseband DL and UL reference signals and (ii) RF margin. The timing error of the DL reference signal depends on the signal bandwidth because this contributes to the minimum timing resolution, which is the inverse of the reference signal bandwidth multiplied by two (i.e.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error</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2*BW</m:t>
            </m:r>
          </m:den>
        </m:f>
      </m:oMath>
      <w:r>
        <w:rPr>
          <w:lang w:eastAsia="zh-CN"/>
        </w:rPr>
        <w:t xml:space="preserve">). The UL subcarrier spacing affects the margin calculation as provided in </w:t>
      </w:r>
      <w:r>
        <w:rPr>
          <w:lang w:eastAsia="zh-CN"/>
        </w:rPr>
        <w:fldChar w:fldCharType="begin"/>
      </w:r>
      <w:r>
        <w:rPr>
          <w:lang w:eastAsia="zh-CN"/>
        </w:rPr>
        <w:instrText xml:space="preserve"> REF _Ref79146040 \r \h </w:instrText>
      </w:r>
      <w:r>
        <w:rPr>
          <w:lang w:eastAsia="zh-CN"/>
        </w:rPr>
      </w:r>
      <w:r>
        <w:rPr>
          <w:lang w:eastAsia="zh-CN"/>
        </w:rPr>
        <w:fldChar w:fldCharType="separate"/>
      </w:r>
      <w:r w:rsidR="005E4394">
        <w:rPr>
          <w:lang w:eastAsia="zh-CN"/>
        </w:rPr>
        <w:t>[6]</w:t>
      </w:r>
      <w:r>
        <w:rPr>
          <w:lang w:eastAsia="zh-CN"/>
        </w:rPr>
        <w:fldChar w:fldCharType="end"/>
      </w:r>
      <w:r>
        <w:rPr>
          <w:lang w:eastAsia="zh-CN"/>
        </w:rPr>
        <w:t xml:space="preserve"> and also mentioned in chairman notes in</w:t>
      </w:r>
      <w:r w:rsidR="004153F5">
        <w:rPr>
          <w:lang w:eastAsia="zh-CN"/>
        </w:rPr>
        <w:t xml:space="preserve"> </w:t>
      </w:r>
      <w:r w:rsidR="004153F5">
        <w:rPr>
          <w:lang w:eastAsia="zh-CN"/>
        </w:rPr>
        <w:fldChar w:fldCharType="begin"/>
      </w:r>
      <w:r w:rsidR="004153F5">
        <w:rPr>
          <w:lang w:eastAsia="zh-CN"/>
        </w:rPr>
        <w:instrText xml:space="preserve"> REF _Ref79147732 \r \h </w:instrText>
      </w:r>
      <w:r w:rsidR="004153F5">
        <w:rPr>
          <w:lang w:eastAsia="zh-CN"/>
        </w:rPr>
      </w:r>
      <w:r w:rsidR="004153F5">
        <w:rPr>
          <w:lang w:eastAsia="zh-CN"/>
        </w:rPr>
        <w:fldChar w:fldCharType="separate"/>
      </w:r>
      <w:r w:rsidR="005E4394">
        <w:rPr>
          <w:lang w:eastAsia="zh-CN"/>
        </w:rPr>
        <w:t>[7]</w:t>
      </w:r>
      <w:r w:rsidR="004153F5">
        <w:rPr>
          <w:lang w:eastAsia="zh-CN"/>
        </w:rPr>
        <w:fldChar w:fldCharType="end"/>
      </w:r>
      <w:r>
        <w:rPr>
          <w:lang w:eastAsia="zh-CN"/>
        </w:rPr>
        <w:t>.</w:t>
      </w:r>
      <w:r w:rsidR="00610939">
        <w:rPr>
          <w:lang w:eastAsia="zh-CN"/>
        </w:rPr>
        <w:t xml:space="preserve"> The margin error upper bound is coming from the UL vs DL RF error and it is derived in </w:t>
      </w:r>
      <w:r w:rsidR="00610939">
        <w:rPr>
          <w:lang w:eastAsia="zh-CN"/>
        </w:rPr>
        <w:fldChar w:fldCharType="begin"/>
      </w:r>
      <w:r w:rsidR="00610939">
        <w:rPr>
          <w:lang w:eastAsia="zh-CN"/>
        </w:rPr>
        <w:instrText xml:space="preserve"> REF _Ref79146516 \r \h </w:instrText>
      </w:r>
      <w:r w:rsidR="00610939">
        <w:rPr>
          <w:lang w:eastAsia="zh-CN"/>
        </w:rPr>
      </w:r>
      <w:r w:rsidR="00610939">
        <w:rPr>
          <w:lang w:eastAsia="zh-CN"/>
        </w:rPr>
        <w:fldChar w:fldCharType="separate"/>
      </w:r>
      <w:r w:rsidR="005E4394">
        <w:rPr>
          <w:lang w:eastAsia="zh-CN"/>
        </w:rPr>
        <w:t>[8]</w:t>
      </w:r>
      <w:r w:rsidR="00610939">
        <w:rPr>
          <w:lang w:eastAsia="zh-CN"/>
        </w:rPr>
        <w:fldChar w:fldCharType="end"/>
      </w:r>
      <w:r w:rsidR="00610939">
        <w:rPr>
          <w:lang w:eastAsia="zh-CN"/>
        </w:rPr>
        <w:t xml:space="preserve">. </w:t>
      </w:r>
      <w:r w:rsidR="00A05065">
        <w:rPr>
          <w:lang w:eastAsia="zh-CN"/>
        </w:rPr>
        <w:t xml:space="preserve">Based on the previous references, we further illustrate the main timing error contributors in the existing Te table, as shown in the table below. </w:t>
      </w:r>
    </w:p>
    <w:p w14:paraId="0D7F5ADA" w14:textId="77777777" w:rsidR="00E27396" w:rsidRDefault="00E27396" w:rsidP="005912BF">
      <w:pPr>
        <w:jc w:val="both"/>
        <w:rPr>
          <w:lang w:eastAsia="zh-CN"/>
        </w:rPr>
      </w:pPr>
    </w:p>
    <w:tbl>
      <w:tblPr>
        <w:tblStyle w:val="TableGrid"/>
        <w:tblW w:w="0" w:type="auto"/>
        <w:jc w:val="center"/>
        <w:tblLayout w:type="fixed"/>
        <w:tblLook w:val="04A0" w:firstRow="1" w:lastRow="0" w:firstColumn="1" w:lastColumn="0" w:noHBand="0" w:noVBand="1"/>
      </w:tblPr>
      <w:tblGrid>
        <w:gridCol w:w="1153"/>
        <w:gridCol w:w="1094"/>
        <w:gridCol w:w="1187"/>
        <w:gridCol w:w="1664"/>
        <w:gridCol w:w="1276"/>
        <w:gridCol w:w="1276"/>
      </w:tblGrid>
      <w:tr w:rsidR="003A09AD" w14:paraId="13F7EBCB" w14:textId="53CE1E44" w:rsidTr="003A09AD">
        <w:trPr>
          <w:jc w:val="center"/>
        </w:trPr>
        <w:tc>
          <w:tcPr>
            <w:tcW w:w="1153" w:type="dxa"/>
            <w:vAlign w:val="center"/>
          </w:tcPr>
          <w:p w14:paraId="70698773" w14:textId="66B9690A" w:rsidR="003A09AD" w:rsidRDefault="003A09AD" w:rsidP="00AC6951">
            <w:pPr>
              <w:jc w:val="center"/>
              <w:rPr>
                <w:lang w:eastAsia="zh-CN"/>
              </w:rPr>
            </w:pPr>
            <w:r>
              <w:rPr>
                <w:lang w:eastAsia="zh-CN"/>
              </w:rPr>
              <w:t>Frequency range</w:t>
            </w:r>
          </w:p>
        </w:tc>
        <w:tc>
          <w:tcPr>
            <w:tcW w:w="1094" w:type="dxa"/>
            <w:vAlign w:val="center"/>
          </w:tcPr>
          <w:p w14:paraId="1B7E366C" w14:textId="7EC09E8F" w:rsidR="003A09AD" w:rsidRDefault="003A09AD" w:rsidP="00AC6951">
            <w:pPr>
              <w:jc w:val="center"/>
              <w:rPr>
                <w:lang w:eastAsia="zh-CN"/>
              </w:rPr>
            </w:pPr>
            <w:r>
              <w:rPr>
                <w:lang w:eastAsia="zh-CN"/>
              </w:rPr>
              <w:t>SCS of SSB signals (KHz)</w:t>
            </w:r>
          </w:p>
        </w:tc>
        <w:tc>
          <w:tcPr>
            <w:tcW w:w="1187" w:type="dxa"/>
            <w:vAlign w:val="center"/>
          </w:tcPr>
          <w:p w14:paraId="53FA9996" w14:textId="48F7A067" w:rsidR="003A09AD" w:rsidRDefault="003A09AD" w:rsidP="00AC6951">
            <w:pPr>
              <w:jc w:val="center"/>
              <w:rPr>
                <w:lang w:eastAsia="zh-CN"/>
              </w:rPr>
            </w:pPr>
            <w:r>
              <w:rPr>
                <w:lang w:eastAsia="zh-CN"/>
              </w:rPr>
              <w:t>SCS of uplink signals (KHz)</w:t>
            </w:r>
          </w:p>
        </w:tc>
        <w:tc>
          <w:tcPr>
            <w:tcW w:w="1664" w:type="dxa"/>
            <w:vAlign w:val="center"/>
          </w:tcPr>
          <w:p w14:paraId="4FE2ECDA" w14:textId="3E8A14E9" w:rsidR="003A09AD" w:rsidRDefault="003A09AD" w:rsidP="00AC6951">
            <w:pPr>
              <w:jc w:val="center"/>
              <w:rPr>
                <w:lang w:eastAsia="zh-CN"/>
              </w:rPr>
            </w:pPr>
            <w:r>
              <w:rPr>
                <w:lang w:eastAsia="zh-CN"/>
              </w:rPr>
              <w:t>Te</w:t>
            </w:r>
          </w:p>
        </w:tc>
        <w:tc>
          <w:tcPr>
            <w:tcW w:w="1276" w:type="dxa"/>
            <w:vAlign w:val="center"/>
          </w:tcPr>
          <w:p w14:paraId="4FA54D79" w14:textId="4A8BC6FA" w:rsidR="003A09AD" w:rsidRDefault="003A09AD" w:rsidP="00AC6951">
            <w:pPr>
              <w:jc w:val="center"/>
              <w:rPr>
                <w:lang w:eastAsia="zh-CN"/>
              </w:rPr>
            </w:pPr>
            <w:r>
              <w:rPr>
                <w:lang w:eastAsia="zh-CN"/>
              </w:rPr>
              <w:t>T</w:t>
            </w:r>
            <w:r>
              <w:rPr>
                <w:sz w:val="14"/>
                <w:szCs w:val="16"/>
                <w:lang w:eastAsia="zh-CN"/>
              </w:rPr>
              <w:t>e, margin</w:t>
            </w:r>
          </w:p>
        </w:tc>
        <w:tc>
          <w:tcPr>
            <w:tcW w:w="1276" w:type="dxa"/>
            <w:vAlign w:val="center"/>
          </w:tcPr>
          <w:p w14:paraId="1399F27A" w14:textId="6F5D500A" w:rsidR="003A09AD" w:rsidRDefault="003A09AD" w:rsidP="00AC6951">
            <w:pPr>
              <w:jc w:val="center"/>
              <w:rPr>
                <w:lang w:eastAsia="zh-CN"/>
              </w:rPr>
            </w:pPr>
            <w:r>
              <w:rPr>
                <w:lang w:eastAsia="zh-CN"/>
              </w:rPr>
              <w:t>T</w:t>
            </w:r>
            <w:r w:rsidRPr="005B6DD0">
              <w:rPr>
                <w:sz w:val="14"/>
                <w:szCs w:val="16"/>
                <w:lang w:eastAsia="zh-CN"/>
              </w:rPr>
              <w:t>e, DL,BW</w:t>
            </w:r>
          </w:p>
        </w:tc>
      </w:tr>
      <w:tr w:rsidR="003A09AD" w14:paraId="041BC4BC" w14:textId="37FDC16C" w:rsidTr="003A09AD">
        <w:trPr>
          <w:jc w:val="center"/>
        </w:trPr>
        <w:tc>
          <w:tcPr>
            <w:tcW w:w="1153" w:type="dxa"/>
            <w:vMerge w:val="restart"/>
            <w:vAlign w:val="center"/>
          </w:tcPr>
          <w:p w14:paraId="291D8A70" w14:textId="708BCDBE" w:rsidR="003A09AD" w:rsidRDefault="003A09AD" w:rsidP="00AC6951">
            <w:pPr>
              <w:jc w:val="center"/>
              <w:rPr>
                <w:lang w:eastAsia="zh-CN"/>
              </w:rPr>
            </w:pPr>
            <w:r>
              <w:rPr>
                <w:lang w:eastAsia="zh-CN"/>
              </w:rPr>
              <w:t>FR1</w:t>
            </w:r>
          </w:p>
        </w:tc>
        <w:tc>
          <w:tcPr>
            <w:tcW w:w="1094" w:type="dxa"/>
            <w:vMerge w:val="restart"/>
            <w:vAlign w:val="center"/>
          </w:tcPr>
          <w:p w14:paraId="6D54AD4C" w14:textId="3E8FD859" w:rsidR="003A09AD" w:rsidRDefault="003A09AD" w:rsidP="00AC6951">
            <w:pPr>
              <w:jc w:val="center"/>
              <w:rPr>
                <w:lang w:eastAsia="zh-CN"/>
              </w:rPr>
            </w:pPr>
            <w:r>
              <w:rPr>
                <w:lang w:eastAsia="zh-CN"/>
              </w:rPr>
              <w:t>15</w:t>
            </w:r>
          </w:p>
        </w:tc>
        <w:tc>
          <w:tcPr>
            <w:tcW w:w="1187" w:type="dxa"/>
            <w:vAlign w:val="center"/>
          </w:tcPr>
          <w:p w14:paraId="648928CE" w14:textId="5ED17B3D" w:rsidR="003A09AD" w:rsidRDefault="003A09AD" w:rsidP="00AC6951">
            <w:pPr>
              <w:jc w:val="center"/>
              <w:rPr>
                <w:lang w:eastAsia="zh-CN"/>
              </w:rPr>
            </w:pPr>
            <w:r>
              <w:rPr>
                <w:lang w:eastAsia="zh-CN"/>
              </w:rPr>
              <w:t>15</w:t>
            </w:r>
          </w:p>
        </w:tc>
        <w:tc>
          <w:tcPr>
            <w:tcW w:w="1664" w:type="dxa"/>
          </w:tcPr>
          <w:p w14:paraId="7CEF4BC3" w14:textId="26DDB873" w:rsidR="003A09AD" w:rsidRPr="00AC6951" w:rsidRDefault="003A09AD" w:rsidP="00AC6951">
            <w:pPr>
              <w:jc w:val="center"/>
              <w:rPr>
                <w:lang w:eastAsia="zh-CN"/>
              </w:rPr>
            </w:pPr>
            <w:r w:rsidRPr="00AC6951">
              <w:rPr>
                <w:rFonts w:ascii="Arial" w:hAnsi="Arial" w:cs="Arial"/>
                <w:sz w:val="18"/>
                <w:szCs w:val="18"/>
              </w:rPr>
              <w:t>12*64*T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(12Ts)</w:t>
            </w:r>
          </w:p>
        </w:tc>
        <w:tc>
          <w:tcPr>
            <w:tcW w:w="1276" w:type="dxa"/>
            <w:vAlign w:val="center"/>
          </w:tcPr>
          <w:p w14:paraId="033A6B62" w14:textId="3A870EAF" w:rsidR="003A09AD" w:rsidRDefault="003A09AD" w:rsidP="00AC6951">
            <w:pPr>
              <w:jc w:val="center"/>
              <w:rPr>
                <w:lang w:eastAsia="zh-CN"/>
              </w:rPr>
            </w:pPr>
            <w:r w:rsidRPr="003A09AD">
              <w:rPr>
                <w:rFonts w:ascii="Arial" w:hAnsi="Arial" w:cs="Arial"/>
                <w:sz w:val="18"/>
                <w:szCs w:val="18"/>
                <w:highlight w:val="yellow"/>
              </w:rPr>
              <w:t>7.8*64*T</w:t>
            </w:r>
            <w:r w:rsidRPr="003A09AD">
              <w:rPr>
                <w:rFonts w:ascii="Arial" w:hAnsi="Arial" w:cs="Arial"/>
                <w:sz w:val="18"/>
                <w:szCs w:val="18"/>
                <w:highlight w:val="yellow"/>
                <w:vertAlign w:val="subscript"/>
              </w:rPr>
              <w:t>c</w:t>
            </w:r>
          </w:p>
        </w:tc>
        <w:tc>
          <w:tcPr>
            <w:tcW w:w="1276" w:type="dxa"/>
            <w:vMerge w:val="restart"/>
            <w:vAlign w:val="center"/>
          </w:tcPr>
          <w:p w14:paraId="733645AC" w14:textId="6DDECB81" w:rsidR="003A09AD" w:rsidRDefault="003A09AD" w:rsidP="00567420">
            <w:pPr>
              <w:jc w:val="center"/>
              <w:rPr>
                <w:lang w:eastAsia="zh-CN"/>
              </w:rPr>
            </w:pPr>
            <w:r>
              <w:rPr>
                <w:rFonts w:ascii="Arial" w:hAnsi="Arial" w:cs="Arial"/>
                <w:sz w:val="18"/>
                <w:szCs w:val="18"/>
              </w:rPr>
              <w:t>4.2</w:t>
            </w:r>
            <w:r w:rsidRPr="00AC6951">
              <w:rPr>
                <w:rFonts w:ascii="Arial" w:hAnsi="Arial" w:cs="Arial"/>
                <w:sz w:val="18"/>
                <w:szCs w:val="18"/>
              </w:rPr>
              <w:t>*64*T</w:t>
            </w:r>
            <w:r w:rsidRPr="00AC6951">
              <w:rPr>
                <w:rFonts w:ascii="Arial" w:hAnsi="Arial" w:cs="Arial"/>
                <w:sz w:val="18"/>
                <w:szCs w:val="18"/>
                <w:vertAlign w:val="subscript"/>
              </w:rPr>
              <w:t>c</w:t>
            </w:r>
            <w:r>
              <w:rPr>
                <w:rFonts w:ascii="Arial" w:hAnsi="Arial" w:cs="Arial"/>
                <w:sz w:val="18"/>
                <w:szCs w:val="18"/>
                <w:vertAlign w:val="subscript"/>
              </w:rPr>
              <w:t xml:space="preserve"> </w:t>
            </w:r>
          </w:p>
        </w:tc>
      </w:tr>
      <w:tr w:rsidR="003A09AD" w14:paraId="74B2754D" w14:textId="0CD744AE" w:rsidTr="003A09AD">
        <w:trPr>
          <w:jc w:val="center"/>
        </w:trPr>
        <w:tc>
          <w:tcPr>
            <w:tcW w:w="1153" w:type="dxa"/>
            <w:vMerge/>
            <w:vAlign w:val="center"/>
          </w:tcPr>
          <w:p w14:paraId="38572468" w14:textId="77777777" w:rsidR="003A09AD" w:rsidRDefault="003A09AD" w:rsidP="00AC6951">
            <w:pPr>
              <w:jc w:val="center"/>
              <w:rPr>
                <w:lang w:eastAsia="zh-CN"/>
              </w:rPr>
            </w:pPr>
          </w:p>
        </w:tc>
        <w:tc>
          <w:tcPr>
            <w:tcW w:w="1094" w:type="dxa"/>
            <w:vMerge/>
            <w:vAlign w:val="center"/>
          </w:tcPr>
          <w:p w14:paraId="021C87E5" w14:textId="77777777" w:rsidR="003A09AD" w:rsidRDefault="003A09AD" w:rsidP="00AC6951">
            <w:pPr>
              <w:jc w:val="center"/>
              <w:rPr>
                <w:lang w:eastAsia="zh-CN"/>
              </w:rPr>
            </w:pPr>
          </w:p>
        </w:tc>
        <w:tc>
          <w:tcPr>
            <w:tcW w:w="1187" w:type="dxa"/>
            <w:vAlign w:val="center"/>
          </w:tcPr>
          <w:p w14:paraId="1B961511" w14:textId="2571BB9D" w:rsidR="003A09AD" w:rsidRDefault="003A09AD" w:rsidP="00AC6951">
            <w:pPr>
              <w:jc w:val="center"/>
              <w:rPr>
                <w:lang w:eastAsia="zh-CN"/>
              </w:rPr>
            </w:pPr>
            <w:r>
              <w:rPr>
                <w:lang w:eastAsia="zh-CN"/>
              </w:rPr>
              <w:t>30</w:t>
            </w:r>
          </w:p>
        </w:tc>
        <w:tc>
          <w:tcPr>
            <w:tcW w:w="1664" w:type="dxa"/>
          </w:tcPr>
          <w:p w14:paraId="67B2DB7B" w14:textId="4CD4BBF0" w:rsidR="003A09AD" w:rsidRPr="00AC6951" w:rsidRDefault="003A09AD" w:rsidP="00AC6951">
            <w:pPr>
              <w:jc w:val="center"/>
              <w:rPr>
                <w:lang w:eastAsia="zh-CN"/>
              </w:rPr>
            </w:pPr>
            <w:r w:rsidRPr="00AC6951">
              <w:rPr>
                <w:rFonts w:ascii="Arial" w:hAnsi="Arial" w:cs="Arial"/>
                <w:sz w:val="18"/>
                <w:szCs w:val="18"/>
              </w:rPr>
              <w:t>10*64*T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(10Ts)</w:t>
            </w:r>
          </w:p>
        </w:tc>
        <w:tc>
          <w:tcPr>
            <w:tcW w:w="1276" w:type="dxa"/>
            <w:vAlign w:val="center"/>
          </w:tcPr>
          <w:p w14:paraId="539AF844" w14:textId="32D18B28" w:rsidR="003A09AD" w:rsidRDefault="003A09AD" w:rsidP="00AC6951">
            <w:pPr>
              <w:jc w:val="center"/>
              <w:rPr>
                <w:lang w:eastAsia="zh-CN"/>
              </w:rPr>
            </w:pPr>
            <w:r>
              <w:rPr>
                <w:rFonts w:ascii="Arial" w:hAnsi="Arial" w:cs="Arial"/>
                <w:sz w:val="18"/>
                <w:szCs w:val="18"/>
              </w:rPr>
              <w:t>5.8</w:t>
            </w:r>
            <w:r w:rsidRPr="00AC6951">
              <w:rPr>
                <w:rFonts w:ascii="Arial" w:hAnsi="Arial" w:cs="Arial"/>
                <w:sz w:val="18"/>
                <w:szCs w:val="18"/>
              </w:rPr>
              <w:t>*64*T</w:t>
            </w:r>
            <w:r w:rsidRPr="00AC6951">
              <w:rPr>
                <w:rFonts w:ascii="Arial" w:hAnsi="Arial" w:cs="Arial"/>
                <w:sz w:val="18"/>
                <w:szCs w:val="18"/>
                <w:vertAlign w:val="subscript"/>
              </w:rPr>
              <w:t>c</w:t>
            </w:r>
          </w:p>
        </w:tc>
        <w:tc>
          <w:tcPr>
            <w:tcW w:w="1276" w:type="dxa"/>
            <w:vMerge/>
            <w:vAlign w:val="center"/>
          </w:tcPr>
          <w:p w14:paraId="7B3328D5" w14:textId="77777777" w:rsidR="003A09AD" w:rsidRDefault="003A09AD" w:rsidP="00AC6951">
            <w:pPr>
              <w:jc w:val="center"/>
              <w:rPr>
                <w:lang w:eastAsia="zh-CN"/>
              </w:rPr>
            </w:pPr>
          </w:p>
        </w:tc>
      </w:tr>
      <w:tr w:rsidR="003A09AD" w14:paraId="05E77B1A" w14:textId="75A8FCD3" w:rsidTr="003A09AD">
        <w:trPr>
          <w:jc w:val="center"/>
        </w:trPr>
        <w:tc>
          <w:tcPr>
            <w:tcW w:w="1153" w:type="dxa"/>
            <w:vMerge/>
            <w:vAlign w:val="center"/>
          </w:tcPr>
          <w:p w14:paraId="7D4B09F9" w14:textId="77777777" w:rsidR="003A09AD" w:rsidRDefault="003A09AD" w:rsidP="00AC6951">
            <w:pPr>
              <w:jc w:val="center"/>
              <w:rPr>
                <w:lang w:eastAsia="zh-CN"/>
              </w:rPr>
            </w:pPr>
          </w:p>
        </w:tc>
        <w:tc>
          <w:tcPr>
            <w:tcW w:w="1094" w:type="dxa"/>
            <w:vMerge/>
            <w:vAlign w:val="center"/>
          </w:tcPr>
          <w:p w14:paraId="42CA912A" w14:textId="77777777" w:rsidR="003A09AD" w:rsidRDefault="003A09AD" w:rsidP="00AC6951">
            <w:pPr>
              <w:jc w:val="center"/>
              <w:rPr>
                <w:lang w:eastAsia="zh-CN"/>
              </w:rPr>
            </w:pPr>
          </w:p>
        </w:tc>
        <w:tc>
          <w:tcPr>
            <w:tcW w:w="1187" w:type="dxa"/>
            <w:vAlign w:val="center"/>
          </w:tcPr>
          <w:p w14:paraId="702FCDE6" w14:textId="17373175" w:rsidR="003A09AD" w:rsidRDefault="003A09AD" w:rsidP="00AC6951">
            <w:pPr>
              <w:jc w:val="center"/>
              <w:rPr>
                <w:lang w:eastAsia="zh-CN"/>
              </w:rPr>
            </w:pPr>
            <w:r>
              <w:rPr>
                <w:lang w:eastAsia="zh-CN"/>
              </w:rPr>
              <w:t>60</w:t>
            </w:r>
          </w:p>
        </w:tc>
        <w:tc>
          <w:tcPr>
            <w:tcW w:w="1664" w:type="dxa"/>
          </w:tcPr>
          <w:p w14:paraId="74FAE1FE" w14:textId="360A6ACD" w:rsidR="003A09AD" w:rsidRPr="00AC6951" w:rsidRDefault="003A09AD" w:rsidP="00AC6951">
            <w:pPr>
              <w:jc w:val="center"/>
              <w:rPr>
                <w:lang w:eastAsia="zh-CN"/>
              </w:rPr>
            </w:pPr>
            <w:r w:rsidRPr="00AC6951">
              <w:rPr>
                <w:rFonts w:ascii="Arial" w:hAnsi="Arial" w:cs="Arial"/>
                <w:sz w:val="18"/>
                <w:szCs w:val="18"/>
              </w:rPr>
              <w:t>10*64*T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(10Ts)</w:t>
            </w:r>
          </w:p>
        </w:tc>
        <w:tc>
          <w:tcPr>
            <w:tcW w:w="1276" w:type="dxa"/>
            <w:vAlign w:val="center"/>
          </w:tcPr>
          <w:p w14:paraId="57BCCDC6" w14:textId="14E22FDF" w:rsidR="003A09AD" w:rsidRDefault="003A09AD" w:rsidP="00AC6951">
            <w:pPr>
              <w:jc w:val="center"/>
              <w:rPr>
                <w:lang w:eastAsia="zh-CN"/>
              </w:rPr>
            </w:pPr>
            <w:r>
              <w:rPr>
                <w:rFonts w:ascii="Arial" w:hAnsi="Arial" w:cs="Arial"/>
                <w:sz w:val="18"/>
                <w:szCs w:val="18"/>
              </w:rPr>
              <w:t>5.8</w:t>
            </w:r>
            <w:r w:rsidRPr="00AC6951">
              <w:rPr>
                <w:rFonts w:ascii="Arial" w:hAnsi="Arial" w:cs="Arial"/>
                <w:sz w:val="18"/>
                <w:szCs w:val="18"/>
              </w:rPr>
              <w:t>*64*T</w:t>
            </w:r>
            <w:r w:rsidRPr="00AC6951">
              <w:rPr>
                <w:rFonts w:ascii="Arial" w:hAnsi="Arial" w:cs="Arial"/>
                <w:sz w:val="18"/>
                <w:szCs w:val="18"/>
                <w:vertAlign w:val="subscript"/>
              </w:rPr>
              <w:t>c</w:t>
            </w:r>
          </w:p>
        </w:tc>
        <w:tc>
          <w:tcPr>
            <w:tcW w:w="1276" w:type="dxa"/>
            <w:vMerge/>
            <w:vAlign w:val="center"/>
          </w:tcPr>
          <w:p w14:paraId="012F128E" w14:textId="77777777" w:rsidR="003A09AD" w:rsidRDefault="003A09AD" w:rsidP="00AC6951">
            <w:pPr>
              <w:jc w:val="center"/>
              <w:rPr>
                <w:lang w:eastAsia="zh-CN"/>
              </w:rPr>
            </w:pPr>
          </w:p>
        </w:tc>
      </w:tr>
      <w:tr w:rsidR="003A09AD" w14:paraId="64673274" w14:textId="413209A6" w:rsidTr="003A09AD">
        <w:trPr>
          <w:jc w:val="center"/>
        </w:trPr>
        <w:tc>
          <w:tcPr>
            <w:tcW w:w="1153" w:type="dxa"/>
            <w:vMerge/>
            <w:vAlign w:val="center"/>
          </w:tcPr>
          <w:p w14:paraId="1C6A39B0" w14:textId="77777777" w:rsidR="003A09AD" w:rsidRDefault="003A09AD" w:rsidP="00AC6951">
            <w:pPr>
              <w:jc w:val="center"/>
              <w:rPr>
                <w:lang w:eastAsia="zh-CN"/>
              </w:rPr>
            </w:pPr>
          </w:p>
        </w:tc>
        <w:tc>
          <w:tcPr>
            <w:tcW w:w="1094" w:type="dxa"/>
            <w:vMerge w:val="restart"/>
            <w:vAlign w:val="center"/>
          </w:tcPr>
          <w:p w14:paraId="3233DE7A" w14:textId="2F6BA6AC" w:rsidR="003A09AD" w:rsidRDefault="003A09AD" w:rsidP="00AC6951">
            <w:pPr>
              <w:jc w:val="center"/>
              <w:rPr>
                <w:lang w:eastAsia="zh-CN"/>
              </w:rPr>
            </w:pPr>
            <w:r>
              <w:rPr>
                <w:lang w:eastAsia="zh-CN"/>
              </w:rPr>
              <w:t>30</w:t>
            </w:r>
          </w:p>
        </w:tc>
        <w:tc>
          <w:tcPr>
            <w:tcW w:w="1187" w:type="dxa"/>
            <w:vAlign w:val="center"/>
          </w:tcPr>
          <w:p w14:paraId="0AEAB817" w14:textId="3B710A8E" w:rsidR="003A09AD" w:rsidRDefault="003A09AD" w:rsidP="00AC6951">
            <w:pPr>
              <w:jc w:val="center"/>
              <w:rPr>
                <w:lang w:eastAsia="zh-CN"/>
              </w:rPr>
            </w:pPr>
            <w:r>
              <w:rPr>
                <w:lang w:eastAsia="zh-CN"/>
              </w:rPr>
              <w:t>15</w:t>
            </w:r>
          </w:p>
        </w:tc>
        <w:tc>
          <w:tcPr>
            <w:tcW w:w="1664" w:type="dxa"/>
          </w:tcPr>
          <w:p w14:paraId="69A50A4E" w14:textId="2283B20E" w:rsidR="003A09AD" w:rsidRPr="00AC6951" w:rsidRDefault="003A09AD" w:rsidP="00AC6951">
            <w:pPr>
              <w:jc w:val="center"/>
              <w:rPr>
                <w:lang w:eastAsia="zh-CN"/>
              </w:rPr>
            </w:pPr>
            <w:r w:rsidRPr="00AC6951">
              <w:rPr>
                <w:rFonts w:ascii="Arial" w:hAnsi="Arial" w:cs="Arial"/>
                <w:sz w:val="18"/>
                <w:szCs w:val="18"/>
              </w:rPr>
              <w:t>8*64*T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(8Ts)</w:t>
            </w:r>
          </w:p>
        </w:tc>
        <w:tc>
          <w:tcPr>
            <w:tcW w:w="1276" w:type="dxa"/>
            <w:vAlign w:val="center"/>
          </w:tcPr>
          <w:p w14:paraId="7B894084" w14:textId="6C78CCE3" w:rsidR="003A09AD" w:rsidRDefault="003A09AD" w:rsidP="00AC6951">
            <w:pPr>
              <w:jc w:val="center"/>
              <w:rPr>
                <w:lang w:eastAsia="zh-CN"/>
              </w:rPr>
            </w:pPr>
            <w:r>
              <w:rPr>
                <w:rFonts w:ascii="Arial" w:hAnsi="Arial" w:cs="Arial"/>
                <w:sz w:val="18"/>
                <w:szCs w:val="18"/>
              </w:rPr>
              <w:t>5.9</w:t>
            </w:r>
            <w:r w:rsidRPr="00AC6951">
              <w:rPr>
                <w:rFonts w:ascii="Arial" w:hAnsi="Arial" w:cs="Arial"/>
                <w:sz w:val="18"/>
                <w:szCs w:val="18"/>
              </w:rPr>
              <w:t>*64*T</w:t>
            </w:r>
            <w:r w:rsidRPr="00AC6951">
              <w:rPr>
                <w:rFonts w:ascii="Arial" w:hAnsi="Arial" w:cs="Arial"/>
                <w:sz w:val="18"/>
                <w:szCs w:val="18"/>
                <w:vertAlign w:val="subscript"/>
              </w:rPr>
              <w:t>c</w:t>
            </w:r>
          </w:p>
        </w:tc>
        <w:tc>
          <w:tcPr>
            <w:tcW w:w="1276" w:type="dxa"/>
            <w:vMerge w:val="restart"/>
            <w:vAlign w:val="center"/>
          </w:tcPr>
          <w:p w14:paraId="5B7CF8F2" w14:textId="62C23B58" w:rsidR="003A09AD" w:rsidRDefault="003A09AD" w:rsidP="00AC6951">
            <w:pPr>
              <w:jc w:val="center"/>
              <w:rPr>
                <w:lang w:eastAsia="zh-CN"/>
              </w:rPr>
            </w:pPr>
            <w:r>
              <w:rPr>
                <w:rFonts w:ascii="Arial" w:hAnsi="Arial" w:cs="Arial"/>
                <w:sz w:val="18"/>
                <w:szCs w:val="18"/>
              </w:rPr>
              <w:t>2.1</w:t>
            </w:r>
            <w:r w:rsidRPr="00AC6951">
              <w:rPr>
                <w:rFonts w:ascii="Arial" w:hAnsi="Arial" w:cs="Arial"/>
                <w:sz w:val="18"/>
                <w:szCs w:val="18"/>
              </w:rPr>
              <w:t>*64*T</w:t>
            </w:r>
            <w:r w:rsidRPr="00AC6951">
              <w:rPr>
                <w:rFonts w:ascii="Arial" w:hAnsi="Arial" w:cs="Arial"/>
                <w:sz w:val="18"/>
                <w:szCs w:val="18"/>
                <w:vertAlign w:val="subscript"/>
              </w:rPr>
              <w:t>c</w:t>
            </w:r>
            <w:r>
              <w:rPr>
                <w:rFonts w:ascii="Arial" w:hAnsi="Arial" w:cs="Arial"/>
                <w:sz w:val="18"/>
                <w:szCs w:val="18"/>
                <w:vertAlign w:val="subscript"/>
              </w:rPr>
              <w:t xml:space="preserve"> </w:t>
            </w:r>
          </w:p>
        </w:tc>
      </w:tr>
      <w:tr w:rsidR="003A09AD" w14:paraId="52CC6C9F" w14:textId="68BB86D6" w:rsidTr="003A09AD">
        <w:trPr>
          <w:jc w:val="center"/>
        </w:trPr>
        <w:tc>
          <w:tcPr>
            <w:tcW w:w="1153" w:type="dxa"/>
            <w:vMerge/>
            <w:vAlign w:val="center"/>
          </w:tcPr>
          <w:p w14:paraId="66078479" w14:textId="77777777" w:rsidR="003A09AD" w:rsidRDefault="003A09AD" w:rsidP="00AC6951">
            <w:pPr>
              <w:jc w:val="center"/>
              <w:rPr>
                <w:lang w:eastAsia="zh-CN"/>
              </w:rPr>
            </w:pPr>
          </w:p>
        </w:tc>
        <w:tc>
          <w:tcPr>
            <w:tcW w:w="1094" w:type="dxa"/>
            <w:vMerge/>
            <w:vAlign w:val="center"/>
          </w:tcPr>
          <w:p w14:paraId="49720B38" w14:textId="77777777" w:rsidR="003A09AD" w:rsidRDefault="003A09AD" w:rsidP="00AC6951">
            <w:pPr>
              <w:jc w:val="center"/>
              <w:rPr>
                <w:lang w:eastAsia="zh-CN"/>
              </w:rPr>
            </w:pPr>
          </w:p>
        </w:tc>
        <w:tc>
          <w:tcPr>
            <w:tcW w:w="1187" w:type="dxa"/>
            <w:vAlign w:val="center"/>
          </w:tcPr>
          <w:p w14:paraId="37254773" w14:textId="7AAEB423" w:rsidR="003A09AD" w:rsidRDefault="003A09AD" w:rsidP="00AC6951">
            <w:pPr>
              <w:jc w:val="center"/>
              <w:rPr>
                <w:lang w:eastAsia="zh-CN"/>
              </w:rPr>
            </w:pPr>
            <w:r>
              <w:rPr>
                <w:lang w:eastAsia="zh-CN"/>
              </w:rPr>
              <w:t>30</w:t>
            </w:r>
          </w:p>
        </w:tc>
        <w:tc>
          <w:tcPr>
            <w:tcW w:w="1664" w:type="dxa"/>
          </w:tcPr>
          <w:p w14:paraId="2C32D408" w14:textId="4516B2EA" w:rsidR="003A09AD" w:rsidRPr="00AC6951" w:rsidRDefault="003A09AD" w:rsidP="00AC6951">
            <w:pPr>
              <w:jc w:val="center"/>
              <w:rPr>
                <w:lang w:eastAsia="zh-CN"/>
              </w:rPr>
            </w:pPr>
            <w:r w:rsidRPr="00AC6951">
              <w:rPr>
                <w:rFonts w:ascii="Arial" w:hAnsi="Arial" w:cs="Arial"/>
                <w:sz w:val="18"/>
                <w:szCs w:val="18"/>
              </w:rPr>
              <w:t>8*64*T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(8Ts)</w:t>
            </w:r>
          </w:p>
        </w:tc>
        <w:tc>
          <w:tcPr>
            <w:tcW w:w="1276" w:type="dxa"/>
            <w:vAlign w:val="center"/>
          </w:tcPr>
          <w:p w14:paraId="34FCF4CC" w14:textId="2D385B65" w:rsidR="003A09AD" w:rsidRDefault="003A09AD" w:rsidP="00AC6951">
            <w:pPr>
              <w:jc w:val="center"/>
              <w:rPr>
                <w:lang w:eastAsia="zh-CN"/>
              </w:rPr>
            </w:pPr>
            <w:r>
              <w:rPr>
                <w:rFonts w:ascii="Arial" w:hAnsi="Arial" w:cs="Arial"/>
                <w:sz w:val="18"/>
                <w:szCs w:val="18"/>
              </w:rPr>
              <w:t>5.9</w:t>
            </w:r>
            <w:r w:rsidRPr="00AC6951">
              <w:rPr>
                <w:rFonts w:ascii="Arial" w:hAnsi="Arial" w:cs="Arial"/>
                <w:sz w:val="18"/>
                <w:szCs w:val="18"/>
              </w:rPr>
              <w:t>*64*T</w:t>
            </w:r>
            <w:r w:rsidRPr="00AC6951">
              <w:rPr>
                <w:rFonts w:ascii="Arial" w:hAnsi="Arial" w:cs="Arial"/>
                <w:sz w:val="18"/>
                <w:szCs w:val="18"/>
                <w:vertAlign w:val="subscript"/>
              </w:rPr>
              <w:t>c</w:t>
            </w:r>
          </w:p>
        </w:tc>
        <w:tc>
          <w:tcPr>
            <w:tcW w:w="1276" w:type="dxa"/>
            <w:vMerge/>
            <w:vAlign w:val="center"/>
          </w:tcPr>
          <w:p w14:paraId="6748114C" w14:textId="77777777" w:rsidR="003A09AD" w:rsidRDefault="003A09AD" w:rsidP="00AC6951">
            <w:pPr>
              <w:jc w:val="center"/>
              <w:rPr>
                <w:lang w:eastAsia="zh-CN"/>
              </w:rPr>
            </w:pPr>
          </w:p>
        </w:tc>
      </w:tr>
      <w:tr w:rsidR="003A09AD" w14:paraId="62214CCF" w14:textId="4FCDD4C7" w:rsidTr="003A09AD">
        <w:trPr>
          <w:jc w:val="center"/>
        </w:trPr>
        <w:tc>
          <w:tcPr>
            <w:tcW w:w="1153" w:type="dxa"/>
            <w:vMerge/>
            <w:vAlign w:val="center"/>
          </w:tcPr>
          <w:p w14:paraId="076FEBB4" w14:textId="77777777" w:rsidR="003A09AD" w:rsidRDefault="003A09AD" w:rsidP="00AC6951">
            <w:pPr>
              <w:jc w:val="center"/>
              <w:rPr>
                <w:lang w:eastAsia="zh-CN"/>
              </w:rPr>
            </w:pPr>
          </w:p>
        </w:tc>
        <w:tc>
          <w:tcPr>
            <w:tcW w:w="1094" w:type="dxa"/>
            <w:vMerge/>
            <w:vAlign w:val="center"/>
          </w:tcPr>
          <w:p w14:paraId="6BB206FE" w14:textId="77777777" w:rsidR="003A09AD" w:rsidRDefault="003A09AD" w:rsidP="00AC6951">
            <w:pPr>
              <w:jc w:val="center"/>
              <w:rPr>
                <w:lang w:eastAsia="zh-CN"/>
              </w:rPr>
            </w:pPr>
          </w:p>
        </w:tc>
        <w:tc>
          <w:tcPr>
            <w:tcW w:w="1187" w:type="dxa"/>
            <w:vAlign w:val="center"/>
          </w:tcPr>
          <w:p w14:paraId="27C33DBA" w14:textId="1B4198A8" w:rsidR="003A09AD" w:rsidRDefault="003A09AD" w:rsidP="00AC6951">
            <w:pPr>
              <w:jc w:val="center"/>
              <w:rPr>
                <w:lang w:eastAsia="zh-CN"/>
              </w:rPr>
            </w:pPr>
            <w:r>
              <w:rPr>
                <w:lang w:eastAsia="zh-CN"/>
              </w:rPr>
              <w:t>60</w:t>
            </w:r>
          </w:p>
        </w:tc>
        <w:tc>
          <w:tcPr>
            <w:tcW w:w="1664" w:type="dxa"/>
          </w:tcPr>
          <w:p w14:paraId="0823E15D" w14:textId="6573672D" w:rsidR="003A09AD" w:rsidRPr="00AC6951" w:rsidRDefault="003A09AD" w:rsidP="00AC6951">
            <w:pPr>
              <w:jc w:val="center"/>
              <w:rPr>
                <w:lang w:eastAsia="zh-CN"/>
              </w:rPr>
            </w:pPr>
            <w:r w:rsidRPr="00AC6951">
              <w:rPr>
                <w:rFonts w:ascii="Arial" w:hAnsi="Arial" w:cs="Arial"/>
                <w:sz w:val="18"/>
                <w:szCs w:val="18"/>
              </w:rPr>
              <w:t>7*64*T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(7Ts)</w:t>
            </w:r>
          </w:p>
        </w:tc>
        <w:tc>
          <w:tcPr>
            <w:tcW w:w="1276" w:type="dxa"/>
            <w:vAlign w:val="center"/>
          </w:tcPr>
          <w:p w14:paraId="638969A0" w14:textId="08AB444F" w:rsidR="003A09AD" w:rsidRDefault="003A09AD" w:rsidP="00AC6951">
            <w:pPr>
              <w:jc w:val="center"/>
              <w:rPr>
                <w:lang w:eastAsia="zh-CN"/>
              </w:rPr>
            </w:pPr>
            <w:r>
              <w:rPr>
                <w:rFonts w:ascii="Arial" w:hAnsi="Arial" w:cs="Arial"/>
                <w:sz w:val="18"/>
                <w:szCs w:val="18"/>
              </w:rPr>
              <w:t>4.9</w:t>
            </w:r>
            <w:r w:rsidRPr="00AC6951">
              <w:rPr>
                <w:rFonts w:ascii="Arial" w:hAnsi="Arial" w:cs="Arial"/>
                <w:sz w:val="18"/>
                <w:szCs w:val="18"/>
              </w:rPr>
              <w:t>*64*T</w:t>
            </w:r>
            <w:r w:rsidRPr="00AC6951">
              <w:rPr>
                <w:rFonts w:ascii="Arial" w:hAnsi="Arial" w:cs="Arial"/>
                <w:sz w:val="18"/>
                <w:szCs w:val="18"/>
                <w:vertAlign w:val="subscript"/>
              </w:rPr>
              <w:t>c</w:t>
            </w:r>
          </w:p>
        </w:tc>
        <w:tc>
          <w:tcPr>
            <w:tcW w:w="1276" w:type="dxa"/>
            <w:vMerge/>
            <w:vAlign w:val="center"/>
          </w:tcPr>
          <w:p w14:paraId="29A60BD9" w14:textId="77777777" w:rsidR="003A09AD" w:rsidRDefault="003A09AD" w:rsidP="00AC6951">
            <w:pPr>
              <w:jc w:val="center"/>
              <w:rPr>
                <w:lang w:eastAsia="zh-CN"/>
              </w:rPr>
            </w:pPr>
          </w:p>
        </w:tc>
      </w:tr>
      <w:tr w:rsidR="003A09AD" w14:paraId="1BCE0BE6" w14:textId="1B8FBF20" w:rsidTr="003A09AD">
        <w:trPr>
          <w:jc w:val="center"/>
        </w:trPr>
        <w:tc>
          <w:tcPr>
            <w:tcW w:w="1153" w:type="dxa"/>
            <w:vMerge w:val="restart"/>
            <w:vAlign w:val="center"/>
          </w:tcPr>
          <w:p w14:paraId="328C9E41" w14:textId="6835108A" w:rsidR="003A09AD" w:rsidRDefault="003A09AD" w:rsidP="00AC6951">
            <w:pPr>
              <w:jc w:val="center"/>
              <w:rPr>
                <w:lang w:eastAsia="zh-CN"/>
              </w:rPr>
            </w:pPr>
            <w:r>
              <w:rPr>
                <w:lang w:eastAsia="zh-CN"/>
              </w:rPr>
              <w:t>FR2</w:t>
            </w:r>
          </w:p>
        </w:tc>
        <w:tc>
          <w:tcPr>
            <w:tcW w:w="1094" w:type="dxa"/>
            <w:vMerge w:val="restart"/>
            <w:vAlign w:val="center"/>
          </w:tcPr>
          <w:p w14:paraId="57A00385" w14:textId="4FE5F43E" w:rsidR="003A09AD" w:rsidRDefault="003A09AD" w:rsidP="00AC6951">
            <w:pPr>
              <w:jc w:val="center"/>
              <w:rPr>
                <w:lang w:eastAsia="zh-CN"/>
              </w:rPr>
            </w:pPr>
            <w:r>
              <w:rPr>
                <w:lang w:eastAsia="zh-CN"/>
              </w:rPr>
              <w:t>120</w:t>
            </w:r>
          </w:p>
        </w:tc>
        <w:tc>
          <w:tcPr>
            <w:tcW w:w="1187" w:type="dxa"/>
            <w:vAlign w:val="center"/>
          </w:tcPr>
          <w:p w14:paraId="30B3F257" w14:textId="52510B1B" w:rsidR="003A09AD" w:rsidRDefault="003A09AD" w:rsidP="00AC6951">
            <w:pPr>
              <w:jc w:val="center"/>
              <w:rPr>
                <w:lang w:eastAsia="zh-CN"/>
              </w:rPr>
            </w:pPr>
            <w:r>
              <w:rPr>
                <w:lang w:eastAsia="zh-CN"/>
              </w:rPr>
              <w:t>60</w:t>
            </w:r>
          </w:p>
        </w:tc>
        <w:tc>
          <w:tcPr>
            <w:tcW w:w="1664" w:type="dxa"/>
          </w:tcPr>
          <w:p w14:paraId="0264B21A" w14:textId="645F8111" w:rsidR="003A09AD" w:rsidRPr="00AC6951" w:rsidRDefault="003A09AD" w:rsidP="00AC6951">
            <w:pPr>
              <w:jc w:val="center"/>
              <w:rPr>
                <w:lang w:eastAsia="zh-CN"/>
              </w:rPr>
            </w:pPr>
            <w:r w:rsidRPr="00AC6951">
              <w:rPr>
                <w:rFonts w:ascii="Arial" w:hAnsi="Arial" w:cs="Arial"/>
                <w:sz w:val="18"/>
                <w:szCs w:val="18"/>
              </w:rPr>
              <w:t>3.5*64*T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(3.5Ts)</w:t>
            </w:r>
          </w:p>
        </w:tc>
        <w:tc>
          <w:tcPr>
            <w:tcW w:w="1276" w:type="dxa"/>
            <w:vAlign w:val="center"/>
          </w:tcPr>
          <w:p w14:paraId="6C112F4A" w14:textId="166EF798" w:rsidR="003A09AD" w:rsidRDefault="003A09AD" w:rsidP="00AC6951">
            <w:pPr>
              <w:jc w:val="center"/>
              <w:rPr>
                <w:lang w:eastAsia="zh-CN"/>
              </w:rPr>
            </w:pPr>
            <w:r>
              <w:rPr>
                <w:rFonts w:ascii="Arial" w:hAnsi="Arial" w:cs="Arial"/>
                <w:sz w:val="18"/>
                <w:szCs w:val="18"/>
              </w:rPr>
              <w:t>2.97</w:t>
            </w:r>
            <w:r w:rsidRPr="00AC6951">
              <w:rPr>
                <w:rFonts w:ascii="Arial" w:hAnsi="Arial" w:cs="Arial"/>
                <w:sz w:val="18"/>
                <w:szCs w:val="18"/>
              </w:rPr>
              <w:t>*64*T</w:t>
            </w:r>
            <w:r w:rsidRPr="00AC6951">
              <w:rPr>
                <w:rFonts w:ascii="Arial" w:hAnsi="Arial" w:cs="Arial"/>
                <w:sz w:val="18"/>
                <w:szCs w:val="18"/>
                <w:vertAlign w:val="subscript"/>
              </w:rPr>
              <w:t>c</w:t>
            </w:r>
          </w:p>
        </w:tc>
        <w:tc>
          <w:tcPr>
            <w:tcW w:w="1276" w:type="dxa"/>
            <w:vMerge w:val="restart"/>
            <w:vAlign w:val="center"/>
          </w:tcPr>
          <w:p w14:paraId="6A500B4A" w14:textId="4B653D36" w:rsidR="003A09AD" w:rsidRDefault="003A09AD" w:rsidP="00AC6951">
            <w:pPr>
              <w:jc w:val="center"/>
              <w:rPr>
                <w:lang w:eastAsia="zh-CN"/>
              </w:rPr>
            </w:pPr>
            <w:r>
              <w:rPr>
                <w:rFonts w:ascii="Arial" w:hAnsi="Arial" w:cs="Arial"/>
                <w:sz w:val="18"/>
                <w:szCs w:val="18"/>
              </w:rPr>
              <w:t>0.53</w:t>
            </w:r>
            <w:r w:rsidRPr="00AC6951">
              <w:rPr>
                <w:rFonts w:ascii="Arial" w:hAnsi="Arial" w:cs="Arial"/>
                <w:sz w:val="18"/>
                <w:szCs w:val="18"/>
              </w:rPr>
              <w:t>*64*T</w:t>
            </w:r>
            <w:r w:rsidRPr="00AC6951">
              <w:rPr>
                <w:rFonts w:ascii="Arial" w:hAnsi="Arial" w:cs="Arial"/>
                <w:sz w:val="18"/>
                <w:szCs w:val="18"/>
                <w:vertAlign w:val="subscript"/>
              </w:rPr>
              <w:t>c</w:t>
            </w:r>
            <w:r>
              <w:rPr>
                <w:rFonts w:ascii="Arial" w:hAnsi="Arial" w:cs="Arial"/>
                <w:sz w:val="18"/>
                <w:szCs w:val="18"/>
                <w:vertAlign w:val="subscript"/>
              </w:rPr>
              <w:t xml:space="preserve"> </w:t>
            </w:r>
          </w:p>
        </w:tc>
      </w:tr>
      <w:tr w:rsidR="003A09AD" w14:paraId="6B54E9AB" w14:textId="51DA6670" w:rsidTr="003A09AD">
        <w:trPr>
          <w:jc w:val="center"/>
        </w:trPr>
        <w:tc>
          <w:tcPr>
            <w:tcW w:w="1153" w:type="dxa"/>
            <w:vMerge/>
            <w:vAlign w:val="center"/>
          </w:tcPr>
          <w:p w14:paraId="4AAB2D41" w14:textId="77777777" w:rsidR="003A09AD" w:rsidRDefault="003A09AD" w:rsidP="00AC6951">
            <w:pPr>
              <w:jc w:val="center"/>
              <w:rPr>
                <w:lang w:eastAsia="zh-CN"/>
              </w:rPr>
            </w:pPr>
          </w:p>
        </w:tc>
        <w:tc>
          <w:tcPr>
            <w:tcW w:w="1094" w:type="dxa"/>
            <w:vMerge/>
            <w:vAlign w:val="center"/>
          </w:tcPr>
          <w:p w14:paraId="23F3E105" w14:textId="77777777" w:rsidR="003A09AD" w:rsidRDefault="003A09AD" w:rsidP="00AC6951">
            <w:pPr>
              <w:jc w:val="center"/>
              <w:rPr>
                <w:lang w:eastAsia="zh-CN"/>
              </w:rPr>
            </w:pPr>
          </w:p>
        </w:tc>
        <w:tc>
          <w:tcPr>
            <w:tcW w:w="1187" w:type="dxa"/>
            <w:vAlign w:val="center"/>
          </w:tcPr>
          <w:p w14:paraId="5E0C3E74" w14:textId="0A23EA32" w:rsidR="003A09AD" w:rsidRDefault="003A09AD" w:rsidP="00AC6951">
            <w:pPr>
              <w:jc w:val="center"/>
              <w:rPr>
                <w:lang w:eastAsia="zh-CN"/>
              </w:rPr>
            </w:pPr>
            <w:r>
              <w:rPr>
                <w:lang w:eastAsia="zh-CN"/>
              </w:rPr>
              <w:t>120</w:t>
            </w:r>
          </w:p>
        </w:tc>
        <w:tc>
          <w:tcPr>
            <w:tcW w:w="1664" w:type="dxa"/>
          </w:tcPr>
          <w:p w14:paraId="16C4C67A" w14:textId="4A28940B" w:rsidR="003A09AD" w:rsidRPr="00AC6951" w:rsidRDefault="003A09AD" w:rsidP="00AC6951">
            <w:pPr>
              <w:jc w:val="center"/>
              <w:rPr>
                <w:lang w:eastAsia="zh-CN"/>
              </w:rPr>
            </w:pPr>
            <w:r w:rsidRPr="00AC6951">
              <w:rPr>
                <w:rFonts w:ascii="Arial" w:hAnsi="Arial" w:cs="Arial"/>
                <w:sz w:val="18"/>
                <w:szCs w:val="18"/>
              </w:rPr>
              <w:t>3.5*64*T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(3.5Ts)</w:t>
            </w:r>
          </w:p>
        </w:tc>
        <w:tc>
          <w:tcPr>
            <w:tcW w:w="1276" w:type="dxa"/>
            <w:vAlign w:val="center"/>
          </w:tcPr>
          <w:p w14:paraId="15FF0419" w14:textId="6F6B9D43" w:rsidR="003A09AD" w:rsidRDefault="003A09AD" w:rsidP="00AC6951">
            <w:pPr>
              <w:jc w:val="center"/>
              <w:rPr>
                <w:lang w:eastAsia="zh-CN"/>
              </w:rPr>
            </w:pPr>
            <w:r>
              <w:rPr>
                <w:rFonts w:ascii="Arial" w:hAnsi="Arial" w:cs="Arial"/>
                <w:sz w:val="18"/>
                <w:szCs w:val="18"/>
              </w:rPr>
              <w:t>2.97</w:t>
            </w:r>
            <w:r w:rsidRPr="00AC6951">
              <w:rPr>
                <w:rFonts w:ascii="Arial" w:hAnsi="Arial" w:cs="Arial"/>
                <w:sz w:val="18"/>
                <w:szCs w:val="18"/>
              </w:rPr>
              <w:t>*64*T</w:t>
            </w:r>
            <w:r w:rsidRPr="00AC6951">
              <w:rPr>
                <w:rFonts w:ascii="Arial" w:hAnsi="Arial" w:cs="Arial"/>
                <w:sz w:val="18"/>
                <w:szCs w:val="18"/>
                <w:vertAlign w:val="subscript"/>
              </w:rPr>
              <w:t>c</w:t>
            </w:r>
          </w:p>
        </w:tc>
        <w:tc>
          <w:tcPr>
            <w:tcW w:w="1276" w:type="dxa"/>
            <w:vMerge/>
            <w:vAlign w:val="center"/>
          </w:tcPr>
          <w:p w14:paraId="734CFB63" w14:textId="77777777" w:rsidR="003A09AD" w:rsidRDefault="003A09AD" w:rsidP="00AC6951">
            <w:pPr>
              <w:jc w:val="center"/>
              <w:rPr>
                <w:lang w:eastAsia="zh-CN"/>
              </w:rPr>
            </w:pPr>
          </w:p>
        </w:tc>
      </w:tr>
      <w:tr w:rsidR="003A09AD" w14:paraId="1087DB78" w14:textId="79D25905" w:rsidTr="003A09AD">
        <w:trPr>
          <w:jc w:val="center"/>
        </w:trPr>
        <w:tc>
          <w:tcPr>
            <w:tcW w:w="1153" w:type="dxa"/>
            <w:vMerge/>
            <w:vAlign w:val="center"/>
          </w:tcPr>
          <w:p w14:paraId="339523C2" w14:textId="77777777" w:rsidR="003A09AD" w:rsidRDefault="003A09AD" w:rsidP="00AC6951">
            <w:pPr>
              <w:jc w:val="center"/>
              <w:rPr>
                <w:lang w:eastAsia="zh-CN"/>
              </w:rPr>
            </w:pPr>
          </w:p>
        </w:tc>
        <w:tc>
          <w:tcPr>
            <w:tcW w:w="1094" w:type="dxa"/>
            <w:vMerge w:val="restart"/>
            <w:vAlign w:val="center"/>
          </w:tcPr>
          <w:p w14:paraId="7B898CD5" w14:textId="43D7CD9C" w:rsidR="003A09AD" w:rsidRDefault="003A09AD" w:rsidP="00AC6951">
            <w:pPr>
              <w:jc w:val="center"/>
              <w:rPr>
                <w:lang w:eastAsia="zh-CN"/>
              </w:rPr>
            </w:pPr>
            <w:r>
              <w:rPr>
                <w:lang w:eastAsia="zh-CN"/>
              </w:rPr>
              <w:t>240</w:t>
            </w:r>
          </w:p>
        </w:tc>
        <w:tc>
          <w:tcPr>
            <w:tcW w:w="1187" w:type="dxa"/>
            <w:vAlign w:val="center"/>
          </w:tcPr>
          <w:p w14:paraId="66ECD2E5" w14:textId="1EDC3C69" w:rsidR="003A09AD" w:rsidRDefault="003A09AD" w:rsidP="00AC6951">
            <w:pPr>
              <w:jc w:val="center"/>
              <w:rPr>
                <w:lang w:eastAsia="zh-CN"/>
              </w:rPr>
            </w:pPr>
            <w:r>
              <w:rPr>
                <w:lang w:eastAsia="zh-CN"/>
              </w:rPr>
              <w:t>60</w:t>
            </w:r>
          </w:p>
        </w:tc>
        <w:tc>
          <w:tcPr>
            <w:tcW w:w="1664" w:type="dxa"/>
          </w:tcPr>
          <w:p w14:paraId="26637D6D" w14:textId="4C78F325" w:rsidR="003A09AD" w:rsidRPr="00AC6951" w:rsidRDefault="003A09AD" w:rsidP="00AC6951">
            <w:pPr>
              <w:jc w:val="center"/>
              <w:rPr>
                <w:lang w:eastAsia="zh-CN"/>
              </w:rPr>
            </w:pPr>
            <w:r w:rsidRPr="00AC6951">
              <w:rPr>
                <w:rFonts w:ascii="Arial" w:hAnsi="Arial" w:cs="Arial"/>
                <w:sz w:val="18"/>
                <w:szCs w:val="18"/>
              </w:rPr>
              <w:t>3*64*T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(3Ts)</w:t>
            </w:r>
          </w:p>
        </w:tc>
        <w:tc>
          <w:tcPr>
            <w:tcW w:w="1276" w:type="dxa"/>
            <w:vAlign w:val="center"/>
          </w:tcPr>
          <w:p w14:paraId="51CF7718" w14:textId="176600BB" w:rsidR="003A09AD" w:rsidRDefault="003A09AD" w:rsidP="00AC6951">
            <w:pPr>
              <w:jc w:val="center"/>
              <w:rPr>
                <w:lang w:eastAsia="zh-CN"/>
              </w:rPr>
            </w:pPr>
            <w:r>
              <w:rPr>
                <w:rFonts w:ascii="Arial" w:hAnsi="Arial" w:cs="Arial"/>
                <w:sz w:val="18"/>
                <w:szCs w:val="18"/>
              </w:rPr>
              <w:t>2.74</w:t>
            </w:r>
            <w:r w:rsidRPr="00AC6951">
              <w:rPr>
                <w:rFonts w:ascii="Arial" w:hAnsi="Arial" w:cs="Arial"/>
                <w:sz w:val="18"/>
                <w:szCs w:val="18"/>
              </w:rPr>
              <w:t>*64*T</w:t>
            </w:r>
            <w:r w:rsidRPr="00AC6951">
              <w:rPr>
                <w:rFonts w:ascii="Arial" w:hAnsi="Arial" w:cs="Arial"/>
                <w:sz w:val="18"/>
                <w:szCs w:val="18"/>
                <w:vertAlign w:val="subscript"/>
              </w:rPr>
              <w:t>c</w:t>
            </w:r>
          </w:p>
        </w:tc>
        <w:tc>
          <w:tcPr>
            <w:tcW w:w="1276" w:type="dxa"/>
            <w:vMerge w:val="restart"/>
            <w:vAlign w:val="center"/>
          </w:tcPr>
          <w:p w14:paraId="1F18ABE9" w14:textId="11AD5E23" w:rsidR="003A09AD" w:rsidRDefault="003A09AD" w:rsidP="00AC6951">
            <w:pPr>
              <w:jc w:val="center"/>
              <w:rPr>
                <w:lang w:eastAsia="zh-CN"/>
              </w:rPr>
            </w:pPr>
            <w:r>
              <w:rPr>
                <w:rFonts w:ascii="Arial" w:hAnsi="Arial" w:cs="Arial"/>
                <w:sz w:val="18"/>
                <w:szCs w:val="18"/>
              </w:rPr>
              <w:t>0.26</w:t>
            </w:r>
            <w:r w:rsidRPr="00AC6951">
              <w:rPr>
                <w:rFonts w:ascii="Arial" w:hAnsi="Arial" w:cs="Arial"/>
                <w:sz w:val="18"/>
                <w:szCs w:val="18"/>
              </w:rPr>
              <w:t>*64*T</w:t>
            </w:r>
            <w:r w:rsidRPr="00AC6951">
              <w:rPr>
                <w:rFonts w:ascii="Arial" w:hAnsi="Arial" w:cs="Arial"/>
                <w:sz w:val="18"/>
                <w:szCs w:val="18"/>
                <w:vertAlign w:val="subscript"/>
              </w:rPr>
              <w:t>c</w:t>
            </w:r>
          </w:p>
        </w:tc>
      </w:tr>
      <w:tr w:rsidR="003A09AD" w14:paraId="5EBBD3CE" w14:textId="4E9D9E46" w:rsidTr="003A09AD">
        <w:trPr>
          <w:jc w:val="center"/>
        </w:trPr>
        <w:tc>
          <w:tcPr>
            <w:tcW w:w="1153" w:type="dxa"/>
            <w:vMerge/>
            <w:vAlign w:val="center"/>
          </w:tcPr>
          <w:p w14:paraId="46FB4B8E" w14:textId="77777777" w:rsidR="003A09AD" w:rsidRDefault="003A09AD" w:rsidP="00AC6951">
            <w:pPr>
              <w:jc w:val="center"/>
              <w:rPr>
                <w:lang w:eastAsia="zh-CN"/>
              </w:rPr>
            </w:pPr>
          </w:p>
        </w:tc>
        <w:tc>
          <w:tcPr>
            <w:tcW w:w="1094" w:type="dxa"/>
            <w:vMerge/>
            <w:vAlign w:val="center"/>
          </w:tcPr>
          <w:p w14:paraId="318E72EF" w14:textId="77777777" w:rsidR="003A09AD" w:rsidRDefault="003A09AD" w:rsidP="00AC6951">
            <w:pPr>
              <w:jc w:val="center"/>
              <w:rPr>
                <w:lang w:eastAsia="zh-CN"/>
              </w:rPr>
            </w:pPr>
          </w:p>
        </w:tc>
        <w:tc>
          <w:tcPr>
            <w:tcW w:w="1187" w:type="dxa"/>
            <w:vAlign w:val="center"/>
          </w:tcPr>
          <w:p w14:paraId="40DC0754" w14:textId="02063D1F" w:rsidR="003A09AD" w:rsidRDefault="003A09AD" w:rsidP="00AC6951">
            <w:pPr>
              <w:jc w:val="center"/>
              <w:rPr>
                <w:lang w:eastAsia="zh-CN"/>
              </w:rPr>
            </w:pPr>
            <w:r>
              <w:rPr>
                <w:lang w:eastAsia="zh-CN"/>
              </w:rPr>
              <w:t>120</w:t>
            </w:r>
          </w:p>
        </w:tc>
        <w:tc>
          <w:tcPr>
            <w:tcW w:w="1664" w:type="dxa"/>
          </w:tcPr>
          <w:p w14:paraId="5411E673" w14:textId="50275E9D" w:rsidR="003A09AD" w:rsidRPr="00AC6951" w:rsidRDefault="003A09AD" w:rsidP="00AC6951">
            <w:pPr>
              <w:jc w:val="center"/>
              <w:rPr>
                <w:lang w:eastAsia="zh-CN"/>
              </w:rPr>
            </w:pPr>
            <w:r w:rsidRPr="00AC6951">
              <w:rPr>
                <w:rFonts w:ascii="Arial" w:hAnsi="Arial" w:cs="Arial"/>
                <w:sz w:val="18"/>
                <w:szCs w:val="18"/>
              </w:rPr>
              <w:t>3*64*T</w:t>
            </w:r>
            <w:r w:rsidRPr="00AC6951">
              <w:rPr>
                <w:rFonts w:ascii="Arial" w:hAnsi="Arial" w:cs="Arial"/>
                <w:sz w:val="18"/>
                <w:szCs w:val="18"/>
                <w:vertAlign w:val="subscript"/>
              </w:rPr>
              <w:t>c</w:t>
            </w:r>
            <w:r>
              <w:rPr>
                <w:rFonts w:ascii="Arial" w:hAnsi="Arial" w:cs="Arial"/>
                <w:sz w:val="18"/>
                <w:szCs w:val="18"/>
                <w:vertAlign w:val="subscript"/>
              </w:rPr>
              <w:t xml:space="preserve"> </w:t>
            </w:r>
            <w:r>
              <w:rPr>
                <w:rFonts w:ascii="Arial" w:hAnsi="Arial" w:cs="Arial"/>
                <w:sz w:val="18"/>
                <w:szCs w:val="18"/>
              </w:rPr>
              <w:t>(3Ts)</w:t>
            </w:r>
          </w:p>
        </w:tc>
        <w:tc>
          <w:tcPr>
            <w:tcW w:w="1276" w:type="dxa"/>
            <w:vAlign w:val="center"/>
          </w:tcPr>
          <w:p w14:paraId="4DC2A7D0" w14:textId="2B400CDE" w:rsidR="003A09AD" w:rsidRDefault="003A09AD" w:rsidP="00AC6951">
            <w:pPr>
              <w:jc w:val="center"/>
              <w:rPr>
                <w:lang w:eastAsia="zh-CN"/>
              </w:rPr>
            </w:pPr>
            <w:r>
              <w:rPr>
                <w:rFonts w:ascii="Arial" w:hAnsi="Arial" w:cs="Arial"/>
                <w:sz w:val="18"/>
                <w:szCs w:val="18"/>
              </w:rPr>
              <w:t>2.74</w:t>
            </w:r>
            <w:r w:rsidRPr="00AC6951">
              <w:rPr>
                <w:rFonts w:ascii="Arial" w:hAnsi="Arial" w:cs="Arial"/>
                <w:sz w:val="18"/>
                <w:szCs w:val="18"/>
              </w:rPr>
              <w:t>*64*T</w:t>
            </w:r>
            <w:r w:rsidRPr="00AC6951">
              <w:rPr>
                <w:rFonts w:ascii="Arial" w:hAnsi="Arial" w:cs="Arial"/>
                <w:sz w:val="18"/>
                <w:szCs w:val="18"/>
                <w:vertAlign w:val="subscript"/>
              </w:rPr>
              <w:t>c</w:t>
            </w:r>
          </w:p>
        </w:tc>
        <w:tc>
          <w:tcPr>
            <w:tcW w:w="1276" w:type="dxa"/>
            <w:vMerge/>
            <w:vAlign w:val="center"/>
          </w:tcPr>
          <w:p w14:paraId="3FACAED4" w14:textId="77777777" w:rsidR="003A09AD" w:rsidRDefault="003A09AD" w:rsidP="00AC6951">
            <w:pPr>
              <w:jc w:val="center"/>
              <w:rPr>
                <w:lang w:eastAsia="zh-CN"/>
              </w:rPr>
            </w:pPr>
          </w:p>
        </w:tc>
      </w:tr>
      <w:tr w:rsidR="003A09AD" w14:paraId="155E9AAA" w14:textId="65A3120D" w:rsidTr="003A09AD">
        <w:trPr>
          <w:jc w:val="center"/>
        </w:trPr>
        <w:tc>
          <w:tcPr>
            <w:tcW w:w="7650" w:type="dxa"/>
            <w:gridSpan w:val="6"/>
            <w:vAlign w:val="center"/>
          </w:tcPr>
          <w:p w14:paraId="1CEEEF4A" w14:textId="386A6734" w:rsidR="003A09AD" w:rsidRDefault="003A09AD" w:rsidP="00AC6951">
            <w:pPr>
              <w:rPr>
                <w:lang w:eastAsia="zh-CN"/>
              </w:rPr>
            </w:pPr>
            <w:r>
              <w:rPr>
                <w:lang w:eastAsia="zh-CN"/>
              </w:rPr>
              <w:t xml:space="preserve">Note 1:   </w:t>
            </w:r>
            <w:r w:rsidRPr="00AC6951">
              <w:rPr>
                <w:lang w:eastAsia="zh-CN"/>
              </w:rPr>
              <w:t>Tc is the basic timing unit defined in TS 38.211</w:t>
            </w:r>
          </w:p>
        </w:tc>
      </w:tr>
    </w:tbl>
    <w:p w14:paraId="2FE46C6A" w14:textId="63950EF0" w:rsidR="009D3EA2" w:rsidRDefault="002F60A8" w:rsidP="005912BF">
      <w:pPr>
        <w:jc w:val="both"/>
        <w:rPr>
          <w:lang w:eastAsia="zh-CN"/>
        </w:rPr>
      </w:pPr>
      <w:r>
        <w:rPr>
          <w:lang w:eastAsia="zh-CN"/>
        </w:rPr>
        <w:t>From the above table, we observe that the margin error has a major impact on the total timing error. In case, the Te requirements should be modified, hence the total margin error should be reused and highest margin error should be taken into account. Therefore, the Te error requirements for a variable BW can be given as:</w:t>
      </w:r>
    </w:p>
    <w:p w14:paraId="5F1C8131" w14:textId="77CA6D65" w:rsidR="002F60A8" w:rsidRDefault="006609A0" w:rsidP="005912BF">
      <w:pPr>
        <w:jc w:val="both"/>
        <w:rPr>
          <w:lang w:eastAsia="zh-CN"/>
        </w:rPr>
      </w:pPr>
      <m:oMathPara>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 xml:space="preserve">e </m:t>
              </m:r>
            </m:sub>
          </m:sSub>
          <m:r>
            <w:rPr>
              <w:rFonts w:ascii="Cambria Math" w:hAnsi="Cambria Math"/>
              <w:lang w:eastAsia="zh-CN"/>
            </w:rPr>
            <m:t>=7.8*64*</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 xml:space="preserve">c </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2*BW</m:t>
              </m:r>
            </m:den>
          </m:f>
        </m:oMath>
      </m:oMathPara>
    </w:p>
    <w:p w14:paraId="5F37ECF0" w14:textId="31C2FCDC" w:rsidR="005912BF" w:rsidRDefault="00610939" w:rsidP="005912BF">
      <w:pPr>
        <w:jc w:val="both"/>
        <w:rPr>
          <w:lang w:eastAsia="zh-CN"/>
        </w:rPr>
      </w:pPr>
      <w:r>
        <w:rPr>
          <w:lang w:eastAsia="zh-CN"/>
        </w:rPr>
        <w:t>From the</w:t>
      </w:r>
      <w:r w:rsidR="00B12F06">
        <w:rPr>
          <w:lang w:eastAsia="zh-CN"/>
        </w:rPr>
        <w:t xml:space="preserve"> timing</w:t>
      </w:r>
      <w:r>
        <w:rPr>
          <w:lang w:eastAsia="zh-CN"/>
        </w:rPr>
        <w:t xml:space="preserve"> error description we can see that if we aim to reduce the Te error then the BW of the DL reference signal should be increased. However, modifying the existing requirements can </w:t>
      </w:r>
      <w:r w:rsidR="00C0256B">
        <w:rPr>
          <w:lang w:eastAsia="zh-CN"/>
        </w:rPr>
        <w:t>have a major impact on</w:t>
      </w:r>
      <w:r w:rsidR="002F5FED">
        <w:rPr>
          <w:lang w:eastAsia="zh-CN"/>
        </w:rPr>
        <w:t xml:space="preserve"> existing 5G NR UEs, hence we shall keep the existing Te table unchanged and if a new DL reference signal is proposed, then a new </w:t>
      </w:r>
      <w:r w:rsidR="005A432B">
        <w:rPr>
          <w:lang w:eastAsia="zh-CN"/>
        </w:rPr>
        <w:t>initial timing error (</w:t>
      </w:r>
      <w:r w:rsidR="002F5FED">
        <w:rPr>
          <w:lang w:eastAsia="zh-CN"/>
        </w:rPr>
        <w:t>Te</w:t>
      </w:r>
      <w:r w:rsidR="005A432B">
        <w:rPr>
          <w:lang w:eastAsia="zh-CN"/>
        </w:rPr>
        <w:t>)</w:t>
      </w:r>
      <w:r w:rsidR="002F5FED">
        <w:rPr>
          <w:lang w:eastAsia="zh-CN"/>
        </w:rPr>
        <w:t xml:space="preserve"> table can be defined for the other reference signal. </w:t>
      </w:r>
    </w:p>
    <w:p w14:paraId="53628AD2" w14:textId="51B6B67C" w:rsidR="005A432B" w:rsidRDefault="005A432B" w:rsidP="005A432B">
      <w:pPr>
        <w:pStyle w:val="ListParagraph"/>
        <w:numPr>
          <w:ilvl w:val="0"/>
          <w:numId w:val="38"/>
        </w:numPr>
        <w:spacing w:after="180"/>
        <w:contextualSpacing w:val="0"/>
        <w:jc w:val="both"/>
        <w:rPr>
          <w:rFonts w:cstheme="minorHAnsi"/>
          <w:b/>
          <w:lang w:eastAsia="ko-KR"/>
        </w:rPr>
      </w:pPr>
      <w:bookmarkStart w:id="3" w:name="_Ref79148073"/>
      <w:r>
        <w:rPr>
          <w:rFonts w:cstheme="minorHAnsi"/>
          <w:b/>
          <w:lang w:eastAsia="ko-KR"/>
        </w:rPr>
        <w:t>The bandwidth of the DL reference signal for TA based method is</w:t>
      </w:r>
      <w:r w:rsidR="00B12F06">
        <w:rPr>
          <w:rFonts w:cstheme="minorHAnsi"/>
          <w:b/>
          <w:lang w:eastAsia="ko-KR"/>
        </w:rPr>
        <w:t xml:space="preserve"> one of</w:t>
      </w:r>
      <w:r>
        <w:rPr>
          <w:rFonts w:cstheme="minorHAnsi"/>
          <w:b/>
          <w:lang w:eastAsia="ko-KR"/>
        </w:rPr>
        <w:t xml:space="preserve"> the main timing error contributor to the initial timing error (Te)</w:t>
      </w:r>
      <w:r w:rsidRPr="00D34B64">
        <w:rPr>
          <w:rFonts w:cstheme="minorHAnsi"/>
          <w:b/>
          <w:lang w:eastAsia="ko-KR"/>
        </w:rPr>
        <w:t>.</w:t>
      </w:r>
      <w:r>
        <w:rPr>
          <w:rFonts w:cstheme="minorHAnsi"/>
          <w:b/>
          <w:lang w:eastAsia="ko-KR"/>
        </w:rPr>
        <w:t xml:space="preserve"> Hence, it is almost impossible to modify the existing Te error without using a new DL reference signal with</w:t>
      </w:r>
      <w:r w:rsidR="00B12F06">
        <w:rPr>
          <w:rFonts w:cstheme="minorHAnsi"/>
          <w:b/>
          <w:lang w:eastAsia="ko-KR"/>
        </w:rPr>
        <w:t xml:space="preserve"> a</w:t>
      </w:r>
      <w:r>
        <w:rPr>
          <w:rFonts w:cstheme="minorHAnsi"/>
          <w:b/>
          <w:lang w:eastAsia="ko-KR"/>
        </w:rPr>
        <w:t xml:space="preserve"> higher bandwidth.</w:t>
      </w:r>
      <w:bookmarkEnd w:id="3"/>
    </w:p>
    <w:p w14:paraId="18AFEABB" w14:textId="18159D30" w:rsidR="005912BF" w:rsidRDefault="005A432B" w:rsidP="005912BF">
      <w:pPr>
        <w:pStyle w:val="ListParagraph"/>
        <w:numPr>
          <w:ilvl w:val="0"/>
          <w:numId w:val="38"/>
        </w:numPr>
        <w:spacing w:after="180"/>
        <w:contextualSpacing w:val="0"/>
        <w:jc w:val="both"/>
        <w:rPr>
          <w:rFonts w:cstheme="minorHAnsi"/>
          <w:b/>
          <w:lang w:eastAsia="ko-KR"/>
        </w:rPr>
      </w:pPr>
      <w:bookmarkStart w:id="4" w:name="_Ref79148086"/>
      <w:r>
        <w:rPr>
          <w:rFonts w:cstheme="minorHAnsi"/>
          <w:b/>
          <w:lang w:eastAsia="ko-KR"/>
        </w:rPr>
        <w:t>Modifying the existing initial timing error (Te) table can have major impact on the existing 5G NR UEs.</w:t>
      </w:r>
      <w:bookmarkEnd w:id="4"/>
      <w:r>
        <w:rPr>
          <w:rFonts w:cstheme="minorHAnsi"/>
          <w:b/>
          <w:lang w:eastAsia="ko-KR"/>
        </w:rPr>
        <w:t xml:space="preserve"> </w:t>
      </w:r>
    </w:p>
    <w:p w14:paraId="5B8FAA30" w14:textId="6021A169" w:rsidR="005A432B" w:rsidRDefault="005A432B" w:rsidP="005A432B">
      <w:pPr>
        <w:pStyle w:val="ListParagraph"/>
        <w:numPr>
          <w:ilvl w:val="0"/>
          <w:numId w:val="39"/>
        </w:numPr>
        <w:spacing w:after="180"/>
        <w:contextualSpacing w:val="0"/>
        <w:jc w:val="both"/>
        <w:rPr>
          <w:rFonts w:cstheme="minorHAnsi"/>
          <w:b/>
          <w:lang w:eastAsia="ko-KR"/>
        </w:rPr>
      </w:pPr>
      <w:bookmarkStart w:id="5" w:name="_Ref79148119"/>
      <w:r>
        <w:rPr>
          <w:rFonts w:cstheme="minorHAnsi"/>
          <w:b/>
          <w:lang w:eastAsia="ko-KR"/>
        </w:rPr>
        <w:t>Support keeping the initial timing error (Te) table unchanged.</w:t>
      </w:r>
      <w:bookmarkEnd w:id="5"/>
    </w:p>
    <w:p w14:paraId="308E3E51" w14:textId="30445851" w:rsidR="004153F5" w:rsidRPr="004153F5" w:rsidRDefault="004153F5" w:rsidP="004153F5">
      <w:pPr>
        <w:spacing w:after="180"/>
        <w:jc w:val="both"/>
        <w:rPr>
          <w:rFonts w:cstheme="minorHAnsi"/>
          <w:lang w:eastAsia="ko-KR"/>
        </w:rPr>
      </w:pPr>
      <w:r w:rsidRPr="004153F5">
        <w:rPr>
          <w:rFonts w:cstheme="minorHAnsi"/>
          <w:lang w:eastAsia="ko-KR"/>
        </w:rPr>
        <w:t xml:space="preserve">Furthermore, </w:t>
      </w:r>
      <w:r>
        <w:rPr>
          <w:rFonts w:cstheme="minorHAnsi"/>
          <w:lang w:eastAsia="ko-KR"/>
        </w:rPr>
        <w:t xml:space="preserve">given that using higher BW for DL reference signal results in a lower timing error, hence for URLLC services the DL reference signal shall use higher subcarrier spacing and hence higher bandwidth. This way the timing error using TA based method can be minimized. </w:t>
      </w:r>
    </w:p>
    <w:p w14:paraId="5BA37156" w14:textId="7CFCEFFB" w:rsidR="004153F5" w:rsidRDefault="004153F5" w:rsidP="004153F5">
      <w:pPr>
        <w:pStyle w:val="ListParagraph"/>
        <w:numPr>
          <w:ilvl w:val="0"/>
          <w:numId w:val="39"/>
        </w:numPr>
        <w:spacing w:after="180"/>
        <w:contextualSpacing w:val="0"/>
        <w:jc w:val="both"/>
        <w:rPr>
          <w:rFonts w:cstheme="minorHAnsi"/>
          <w:b/>
          <w:lang w:eastAsia="ko-KR"/>
        </w:rPr>
      </w:pPr>
      <w:bookmarkStart w:id="6" w:name="_Ref79148131"/>
      <w:r>
        <w:rPr>
          <w:rFonts w:cstheme="minorHAnsi"/>
          <w:b/>
          <w:lang w:eastAsia="ko-KR"/>
        </w:rPr>
        <w:t>Support using higher subcarrier spacing for DL reference signal in TA based method for URLLC devices to ensure lower initial timing error (Te).</w:t>
      </w:r>
      <w:bookmarkEnd w:id="6"/>
    </w:p>
    <w:p w14:paraId="21A66FBF" w14:textId="333A6557" w:rsidR="00AE11FC" w:rsidRDefault="002D2966" w:rsidP="00AE11FC">
      <w:pPr>
        <w:pStyle w:val="Heading1"/>
        <w:numPr>
          <w:ilvl w:val="1"/>
          <w:numId w:val="1"/>
        </w:numPr>
        <w:rPr>
          <w:rFonts w:ascii="Calibri" w:hAnsi="Calibri"/>
          <w:color w:val="0070C0"/>
          <w:lang w:eastAsia="zh-CN"/>
        </w:rPr>
      </w:pPr>
      <w:r w:rsidRPr="002D2966">
        <w:rPr>
          <w:rFonts w:ascii="Calibri" w:hAnsi="Calibri"/>
          <w:color w:val="0070C0"/>
          <w:lang w:eastAsia="zh-CN"/>
        </w:rPr>
        <w:t>TA command indication granularity</w:t>
      </w:r>
    </w:p>
    <w:p w14:paraId="10D5BD92" w14:textId="471E1D2A" w:rsidR="00AE11FC" w:rsidRDefault="002D2966" w:rsidP="00AE11FC">
      <w:pPr>
        <w:pStyle w:val="ListParagraph"/>
        <w:spacing w:after="180"/>
        <w:ind w:left="0"/>
        <w:contextualSpacing w:val="0"/>
        <w:jc w:val="both"/>
        <w:rPr>
          <w:rFonts w:cstheme="minorHAnsi"/>
          <w:iCs/>
          <w:color w:val="000000"/>
          <w:lang w:eastAsia="zh-CN"/>
        </w:rPr>
      </w:pPr>
      <w:r w:rsidRPr="002D2966">
        <w:rPr>
          <w:rFonts w:cstheme="minorHAnsi"/>
          <w:lang w:eastAsia="ko-KR"/>
        </w:rPr>
        <w:t>TA command indication granularity is define</w:t>
      </w:r>
      <w:r>
        <w:rPr>
          <w:rFonts w:cstheme="minorHAnsi"/>
          <w:lang w:eastAsia="ko-KR"/>
        </w:rPr>
        <w:t xml:space="preserve">d in TS 38.213 Clause 4.2 and it is given as </w:t>
      </w:r>
      <w:r w:rsidRPr="005657D2">
        <w:rPr>
          <w:rFonts w:cstheme="minorHAnsi"/>
          <w:iCs/>
          <w:color w:val="000000"/>
          <w:lang w:eastAsia="zh-CN"/>
        </w:rPr>
        <w:t>16*64*T</w:t>
      </w:r>
      <w:r w:rsidRPr="005657D2">
        <w:rPr>
          <w:rFonts w:cstheme="minorHAnsi"/>
          <w:iCs/>
          <w:color w:val="000000"/>
          <w:vertAlign w:val="subscript"/>
          <w:lang w:eastAsia="zh-CN"/>
        </w:rPr>
        <w:t>c</w:t>
      </w:r>
      <w:r w:rsidRPr="005657D2">
        <w:rPr>
          <w:rFonts w:cstheme="minorHAnsi"/>
          <w:iCs/>
          <w:color w:val="000000"/>
          <w:lang w:eastAsia="zh-CN"/>
        </w:rPr>
        <w:t>/2</w:t>
      </w:r>
      <w:r w:rsidRPr="005657D2">
        <w:rPr>
          <w:rFonts w:cstheme="minorHAnsi"/>
          <w:iCs/>
          <w:color w:val="000000"/>
          <w:vertAlign w:val="superscript"/>
          <w:lang w:eastAsia="zh-CN"/>
        </w:rPr>
        <w:sym w:font="Symbol" w:char="F06D"/>
      </w:r>
      <w:r>
        <w:rPr>
          <w:rFonts w:cstheme="minorHAnsi"/>
          <w:iCs/>
          <w:color w:val="000000"/>
          <w:lang w:eastAsia="zh-CN"/>
        </w:rPr>
        <w:t>, where its value depends on the used numerology. Besides, the TA command indication granularity is not part of the RRM requirements, therefore, it should be left to RAN1 to decide whether to modify it or not.</w:t>
      </w:r>
    </w:p>
    <w:p w14:paraId="33A306BA" w14:textId="762199CA" w:rsidR="00240873" w:rsidRDefault="00240873" w:rsidP="00240873">
      <w:pPr>
        <w:pStyle w:val="ListParagraph"/>
        <w:numPr>
          <w:ilvl w:val="0"/>
          <w:numId w:val="39"/>
        </w:numPr>
        <w:spacing w:after="180"/>
        <w:contextualSpacing w:val="0"/>
        <w:jc w:val="both"/>
        <w:rPr>
          <w:rFonts w:cstheme="minorHAnsi"/>
          <w:b/>
          <w:lang w:eastAsia="ko-KR"/>
        </w:rPr>
      </w:pPr>
      <w:bookmarkStart w:id="7" w:name="_Ref85819492"/>
      <w:r>
        <w:rPr>
          <w:rFonts w:cstheme="minorHAnsi"/>
          <w:b/>
          <w:lang w:eastAsia="ko-KR"/>
        </w:rPr>
        <w:t>TA command indication granularity enhancement shall be left to RAN1 because it is not part of the RRM requirements.</w:t>
      </w:r>
      <w:bookmarkEnd w:id="7"/>
    </w:p>
    <w:p w14:paraId="48C10509" w14:textId="77777777" w:rsidR="00240873" w:rsidRPr="002D2966" w:rsidRDefault="00240873" w:rsidP="00AE11FC">
      <w:pPr>
        <w:pStyle w:val="ListParagraph"/>
        <w:spacing w:after="180"/>
        <w:ind w:left="0"/>
        <w:contextualSpacing w:val="0"/>
        <w:jc w:val="both"/>
        <w:rPr>
          <w:rFonts w:cstheme="minorHAnsi"/>
          <w:lang w:eastAsia="ko-KR"/>
        </w:rPr>
      </w:pPr>
    </w:p>
    <w:p w14:paraId="0B2D3E19" w14:textId="4D231B5B" w:rsidR="000C33A1" w:rsidRPr="00046C57" w:rsidRDefault="000C33A1" w:rsidP="000C33A1">
      <w:pPr>
        <w:pStyle w:val="Heading1"/>
        <w:numPr>
          <w:ilvl w:val="0"/>
          <w:numId w:val="1"/>
        </w:numPr>
        <w:rPr>
          <w:rFonts w:ascii="Calibri" w:hAnsi="Calibri"/>
          <w:color w:val="0070C0"/>
          <w:lang w:eastAsia="zh-CN"/>
        </w:rPr>
      </w:pPr>
      <w:r>
        <w:rPr>
          <w:rFonts w:ascii="Calibri" w:hAnsi="Calibri"/>
          <w:color w:val="0070C0"/>
          <w:lang w:eastAsia="zh-CN"/>
        </w:rPr>
        <w:lastRenderedPageBreak/>
        <w:t>LS response</w:t>
      </w:r>
      <w:r w:rsidR="00C0256B">
        <w:rPr>
          <w:rFonts w:ascii="Calibri" w:hAnsi="Calibri"/>
          <w:color w:val="0070C0"/>
          <w:lang w:eastAsia="zh-CN"/>
        </w:rPr>
        <w:t xml:space="preserve"> to RAN1</w:t>
      </w:r>
    </w:p>
    <w:p w14:paraId="569FFCB1" w14:textId="11706B9D" w:rsidR="000C33A1" w:rsidRDefault="00C02FF3" w:rsidP="000C33A1">
      <w:pPr>
        <w:pStyle w:val="ListParagraph"/>
        <w:spacing w:after="180"/>
        <w:ind w:left="0"/>
        <w:contextualSpacing w:val="0"/>
        <w:jc w:val="both"/>
        <w:rPr>
          <w:color w:val="000000" w:themeColor="text1"/>
        </w:rPr>
      </w:pPr>
      <w:r>
        <w:rPr>
          <w:rFonts w:hint="eastAsia"/>
          <w:color w:val="000000" w:themeColor="text1"/>
        </w:rPr>
        <w:t>Based on the discussions in the previous section</w:t>
      </w:r>
      <w:r>
        <w:rPr>
          <w:color w:val="000000" w:themeColor="text1"/>
        </w:rPr>
        <w:t>, we propose to write the following LS response.</w:t>
      </w:r>
    </w:p>
    <w:p w14:paraId="571483A1" w14:textId="22CEAD0B" w:rsidR="00C02FF3" w:rsidRDefault="00B723BC" w:rsidP="00C02FF3">
      <w:pPr>
        <w:pStyle w:val="ListParagraph"/>
        <w:numPr>
          <w:ilvl w:val="0"/>
          <w:numId w:val="39"/>
        </w:numPr>
        <w:spacing w:after="180"/>
        <w:contextualSpacing w:val="0"/>
        <w:jc w:val="both"/>
        <w:rPr>
          <w:rFonts w:cstheme="minorHAnsi"/>
          <w:b/>
          <w:lang w:eastAsia="ko-KR"/>
        </w:rPr>
      </w:pPr>
      <w:bookmarkStart w:id="8" w:name="_Ref85819507"/>
      <w:r>
        <w:rPr>
          <w:rFonts w:cstheme="minorHAnsi"/>
          <w:b/>
          <w:lang w:eastAsia="ko-KR"/>
        </w:rPr>
        <w:t>RAN4 to respond to RAN1 as:</w:t>
      </w:r>
      <w:bookmarkEnd w:id="8"/>
    </w:p>
    <w:tbl>
      <w:tblPr>
        <w:tblStyle w:val="TableGrid"/>
        <w:tblW w:w="0" w:type="auto"/>
        <w:tblLook w:val="04A0" w:firstRow="1" w:lastRow="0" w:firstColumn="1" w:lastColumn="0" w:noHBand="0" w:noVBand="1"/>
      </w:tblPr>
      <w:tblGrid>
        <w:gridCol w:w="9629"/>
      </w:tblGrid>
      <w:tr w:rsidR="00B723BC" w14:paraId="12C62E78" w14:textId="77777777" w:rsidTr="00B723BC">
        <w:tc>
          <w:tcPr>
            <w:tcW w:w="9629" w:type="dxa"/>
          </w:tcPr>
          <w:p w14:paraId="1A042111" w14:textId="1458856D" w:rsidR="00B723BC" w:rsidRPr="003C6CFD" w:rsidRDefault="00B723BC" w:rsidP="00B723BC">
            <w:pPr>
              <w:spacing w:after="120"/>
              <w:jc w:val="both"/>
              <w:rPr>
                <w:rFonts w:cstheme="minorHAnsi"/>
                <w:color w:val="000000" w:themeColor="text1"/>
                <w:lang w:eastAsia="x-none"/>
              </w:rPr>
            </w:pPr>
            <w:r w:rsidRPr="003C6CFD">
              <w:rPr>
                <w:rFonts w:cstheme="minorHAnsi"/>
                <w:b/>
                <w:color w:val="000000" w:themeColor="text1"/>
              </w:rPr>
              <w:t>1. Overall Description:</w:t>
            </w:r>
          </w:p>
          <w:p w14:paraId="2B755694" w14:textId="41567CEF" w:rsidR="00B723BC" w:rsidRDefault="00B723BC" w:rsidP="00B723BC">
            <w:pPr>
              <w:jc w:val="both"/>
            </w:pPr>
            <w:r w:rsidRPr="003C6CFD">
              <w:t>RAN4 would like to inform RAN</w:t>
            </w:r>
            <w:r>
              <w:t>1</w:t>
            </w:r>
            <w:r w:rsidRPr="003C6CFD">
              <w:t xml:space="preserve"> about the RAN4 </w:t>
            </w:r>
            <w:r w:rsidR="002A23B7">
              <w:t>feedback</w:t>
            </w:r>
            <w:r>
              <w:t xml:space="preserve"> for </w:t>
            </w:r>
            <w:r w:rsidR="002A23B7">
              <w:t>their</w:t>
            </w:r>
            <w:r w:rsidRPr="003C6CFD">
              <w:t xml:space="preserve"> </w:t>
            </w:r>
            <w:r w:rsidR="002A23B7" w:rsidRPr="002A23B7">
              <w:t xml:space="preserve">TA-based propagation delay compensation </w:t>
            </w:r>
            <w:r w:rsidRPr="003C6CFD">
              <w:t>question</w:t>
            </w:r>
            <w:r>
              <w:t>s</w:t>
            </w:r>
            <w:r w:rsidRPr="003C6CFD">
              <w:t>.</w:t>
            </w:r>
          </w:p>
          <w:p w14:paraId="2EE557C5" w14:textId="4F8F0198" w:rsidR="00B723BC" w:rsidRDefault="00B723BC" w:rsidP="00B723BC">
            <w:pPr>
              <w:pStyle w:val="ListParagraph"/>
              <w:numPr>
                <w:ilvl w:val="0"/>
                <w:numId w:val="40"/>
              </w:numPr>
              <w:jc w:val="both"/>
            </w:pPr>
            <w:r>
              <w:t>Answer to question 1:</w:t>
            </w:r>
            <w:r w:rsidR="002A23B7">
              <w:t xml:space="preserve"> </w:t>
            </w:r>
          </w:p>
          <w:p w14:paraId="2E03B012" w14:textId="561D9413" w:rsidR="002A23B7" w:rsidRDefault="002A23B7" w:rsidP="002A23B7">
            <w:pPr>
              <w:pStyle w:val="ListParagraph"/>
              <w:numPr>
                <w:ilvl w:val="1"/>
                <w:numId w:val="40"/>
              </w:numPr>
              <w:jc w:val="both"/>
            </w:pPr>
            <w:r>
              <w:t xml:space="preserve">Part 1: No, it is not feasible to support smaller value than the current Te assuming the existing conditions </w:t>
            </w:r>
            <w:r w:rsidRPr="002A23B7">
              <w:t>in TS 38.133 for Te requirement</w:t>
            </w:r>
            <w:r>
              <w:t xml:space="preserve">.  </w:t>
            </w:r>
          </w:p>
          <w:p w14:paraId="47C679BD" w14:textId="24392386" w:rsidR="002A23B7" w:rsidRDefault="002A23B7" w:rsidP="002A23B7">
            <w:pPr>
              <w:pStyle w:val="ListParagraph"/>
              <w:numPr>
                <w:ilvl w:val="1"/>
                <w:numId w:val="40"/>
              </w:numPr>
              <w:jc w:val="both"/>
            </w:pPr>
            <w:r>
              <w:t>Part 2: Yes, Te value can be reduced if the DL BW signal is larger than the BW of SSB signal.</w:t>
            </w:r>
          </w:p>
          <w:p w14:paraId="3F1499AE" w14:textId="42A306FB" w:rsidR="002A23B7" w:rsidRDefault="002A23B7" w:rsidP="002A23B7">
            <w:pPr>
              <w:pStyle w:val="ListParagraph"/>
              <w:numPr>
                <w:ilvl w:val="1"/>
                <w:numId w:val="40"/>
              </w:numPr>
              <w:jc w:val="both"/>
            </w:pPr>
            <w:r>
              <w:t>Part 3: RAN1 can use the following formula to find the enhanced Te for different BW:</w:t>
            </w:r>
          </w:p>
          <w:p w14:paraId="034F91EC" w14:textId="61CADE9D" w:rsidR="002A23B7" w:rsidRDefault="006609A0" w:rsidP="002A23B7">
            <w:pPr>
              <w:jc w:val="both"/>
              <w:rPr>
                <w:lang w:eastAsia="zh-CN"/>
              </w:rPr>
            </w:pPr>
            <m:oMathPara>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 xml:space="preserve">e </m:t>
                    </m:r>
                  </m:sub>
                </m:sSub>
                <m:r>
                  <w:rPr>
                    <w:rFonts w:ascii="Cambria Math" w:hAnsi="Cambria Math"/>
                    <w:lang w:eastAsia="zh-CN"/>
                  </w:rPr>
                  <m:t>=7.8*64*</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 xml:space="preserve">c </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2*BW</m:t>
                    </m:r>
                  </m:den>
                </m:f>
              </m:oMath>
            </m:oMathPara>
          </w:p>
          <w:p w14:paraId="2ABF03E9" w14:textId="09DAC264" w:rsidR="00B723BC" w:rsidRPr="003C6CFD" w:rsidRDefault="00B723BC" w:rsidP="00B723BC">
            <w:pPr>
              <w:pStyle w:val="ListParagraph"/>
              <w:numPr>
                <w:ilvl w:val="0"/>
                <w:numId w:val="40"/>
              </w:numPr>
              <w:jc w:val="both"/>
            </w:pPr>
            <w:r>
              <w:t>Answer to question 2:</w:t>
            </w:r>
            <w:r w:rsidR="002A23B7">
              <w:t xml:space="preserve"> whether it is feasible to enhance TA command indication granularity should be left to RAN1 because it is defined in TS 38.213 and it is not part of the RAN4 defined requirements.</w:t>
            </w:r>
          </w:p>
          <w:p w14:paraId="4F873798" w14:textId="1DF56780" w:rsidR="00B723BC" w:rsidRPr="003C6CFD" w:rsidRDefault="00B723BC" w:rsidP="00B723BC">
            <w:pPr>
              <w:spacing w:after="120"/>
              <w:jc w:val="both"/>
              <w:rPr>
                <w:rFonts w:cstheme="minorHAnsi"/>
                <w:b/>
                <w:color w:val="000000" w:themeColor="text1"/>
              </w:rPr>
            </w:pPr>
            <w:r w:rsidRPr="003C6CFD">
              <w:rPr>
                <w:rFonts w:cstheme="minorHAnsi"/>
                <w:b/>
                <w:color w:val="000000" w:themeColor="text1"/>
              </w:rPr>
              <w:t>2. To RAN WG</w:t>
            </w:r>
            <w:r>
              <w:rPr>
                <w:rFonts w:cstheme="minorHAnsi"/>
                <w:b/>
                <w:color w:val="000000" w:themeColor="text1"/>
              </w:rPr>
              <w:t>1</w:t>
            </w:r>
            <w:r w:rsidRPr="003C6CFD">
              <w:rPr>
                <w:rFonts w:cstheme="minorHAnsi"/>
                <w:b/>
                <w:color w:val="000000" w:themeColor="text1"/>
              </w:rPr>
              <w:t xml:space="preserve"> group. </w:t>
            </w:r>
          </w:p>
          <w:p w14:paraId="2181FCA6" w14:textId="2C282D3D" w:rsidR="00B723BC" w:rsidRDefault="00B723BC" w:rsidP="00B723BC">
            <w:pPr>
              <w:pStyle w:val="ListParagraph"/>
              <w:spacing w:after="180"/>
              <w:ind w:left="0"/>
              <w:contextualSpacing w:val="0"/>
              <w:jc w:val="both"/>
              <w:rPr>
                <w:color w:val="000000" w:themeColor="text1"/>
              </w:rPr>
            </w:pPr>
            <w:r w:rsidRPr="003C6CFD">
              <w:rPr>
                <w:rFonts w:cstheme="minorHAnsi"/>
                <w:b/>
                <w:color w:val="000000" w:themeColor="text1"/>
              </w:rPr>
              <w:t>ACTION:</w:t>
            </w:r>
            <w:r w:rsidRPr="00BA60DE">
              <w:rPr>
                <w:rFonts w:ascii="Arial" w:hAnsi="Arial" w:cs="Arial"/>
                <w:b/>
                <w:color w:val="000000" w:themeColor="text1"/>
                <w:sz w:val="20"/>
              </w:rPr>
              <w:t xml:space="preserve"> </w:t>
            </w:r>
            <w:r w:rsidRPr="003C6CFD">
              <w:t>RAN4 kindly ask RAN</w:t>
            </w:r>
            <w:r>
              <w:t>1</w:t>
            </w:r>
            <w:r w:rsidRPr="003C6CFD">
              <w:t xml:space="preserve"> take above information in to consideration.</w:t>
            </w:r>
          </w:p>
        </w:tc>
      </w:tr>
    </w:tbl>
    <w:p w14:paraId="5F2E61F2" w14:textId="77777777" w:rsidR="00C02FF3" w:rsidRDefault="00C02FF3" w:rsidP="000C33A1">
      <w:pPr>
        <w:pStyle w:val="ListParagraph"/>
        <w:spacing w:after="180"/>
        <w:ind w:left="0"/>
        <w:contextualSpacing w:val="0"/>
        <w:jc w:val="both"/>
        <w:rPr>
          <w:color w:val="000000" w:themeColor="text1"/>
        </w:rPr>
      </w:pPr>
    </w:p>
    <w:p w14:paraId="20DD32B0" w14:textId="77777777" w:rsidR="00C02FF3" w:rsidRPr="004153F5" w:rsidRDefault="00C02FF3" w:rsidP="000C33A1">
      <w:pPr>
        <w:pStyle w:val="ListParagraph"/>
        <w:spacing w:after="180"/>
        <w:ind w:left="0"/>
        <w:contextualSpacing w:val="0"/>
        <w:jc w:val="both"/>
        <w:rPr>
          <w:rFonts w:cstheme="minorHAnsi"/>
          <w:b/>
          <w:lang w:eastAsia="ko-KR"/>
        </w:rPr>
      </w:pPr>
    </w:p>
    <w:p w14:paraId="7C6FC139" w14:textId="77777777" w:rsidR="00CE0D5E" w:rsidRPr="00046C57" w:rsidRDefault="00141644" w:rsidP="008F1284">
      <w:pPr>
        <w:pStyle w:val="Heading1"/>
        <w:numPr>
          <w:ilvl w:val="0"/>
          <w:numId w:val="1"/>
        </w:numPr>
        <w:rPr>
          <w:rFonts w:ascii="Calibri" w:hAnsi="Calibri"/>
          <w:color w:val="0070C0"/>
          <w:lang w:eastAsia="zh-CN"/>
        </w:rPr>
      </w:pPr>
      <w:r w:rsidRPr="00046C57">
        <w:rPr>
          <w:rFonts w:ascii="Calibri" w:hAnsi="Calibri"/>
          <w:color w:val="0070C0"/>
        </w:rPr>
        <w:t>Summary</w:t>
      </w:r>
    </w:p>
    <w:p w14:paraId="169105BA" w14:textId="7099BDB1" w:rsidR="00210915" w:rsidRDefault="006F7557" w:rsidP="00210915">
      <w:pPr>
        <w:adjustRightInd w:val="0"/>
        <w:snapToGrid w:val="0"/>
        <w:spacing w:before="180" w:after="120"/>
        <w:jc w:val="both"/>
        <w:rPr>
          <w:rFonts w:ascii="Calibri" w:hAnsi="Calibri"/>
        </w:rPr>
      </w:pPr>
      <w:r w:rsidRPr="00786FF0">
        <w:rPr>
          <w:rFonts w:hint="eastAsia"/>
          <w:color w:val="000000" w:themeColor="text1"/>
        </w:rPr>
        <w:t xml:space="preserve">In this </w:t>
      </w:r>
      <w:r w:rsidRPr="00786FF0">
        <w:rPr>
          <w:color w:val="000000" w:themeColor="text1"/>
        </w:rPr>
        <w:t>paper,</w:t>
      </w:r>
      <w:r w:rsidRPr="00786FF0">
        <w:rPr>
          <w:rFonts w:hint="eastAsia"/>
          <w:color w:val="000000" w:themeColor="text1"/>
        </w:rPr>
        <w:t xml:space="preserve"> </w:t>
      </w:r>
      <w:r w:rsidR="00791A8C" w:rsidRPr="00786FF0">
        <w:rPr>
          <w:color w:val="000000" w:themeColor="text1"/>
        </w:rPr>
        <w:t xml:space="preserve">we provide our view about the </w:t>
      </w:r>
      <w:r w:rsidR="003009F3" w:rsidRPr="00786FF0">
        <w:rPr>
          <w:color w:val="000000" w:themeColor="text1"/>
        </w:rPr>
        <w:t>UE transmit timing error</w:t>
      </w:r>
      <w:r w:rsidR="00AC6FBE" w:rsidRPr="00786FF0">
        <w:rPr>
          <w:color w:val="000000" w:themeColor="text1"/>
        </w:rPr>
        <w:t xml:space="preserve">. We </w:t>
      </w:r>
      <w:r w:rsidR="002F29B3" w:rsidRPr="00786FF0">
        <w:rPr>
          <w:color w:val="000000" w:themeColor="text1"/>
        </w:rPr>
        <w:t>have the following observations</w:t>
      </w:r>
      <w:r w:rsidR="00AC6FBE" w:rsidRPr="00786FF0">
        <w:rPr>
          <w:color w:val="000000" w:themeColor="text1"/>
        </w:rPr>
        <w:t>.</w:t>
      </w:r>
      <w:r w:rsidR="00210915">
        <w:rPr>
          <w:rFonts w:ascii="Calibri" w:hAnsi="Calibri"/>
        </w:rPr>
        <w:t xml:space="preserve"> </w:t>
      </w:r>
    </w:p>
    <w:p w14:paraId="7EFAB763" w14:textId="6566696B" w:rsidR="00AC7A1F" w:rsidRDefault="00AC7A1F" w:rsidP="00C02FF3">
      <w:pPr>
        <w:adjustRightInd w:val="0"/>
        <w:snapToGrid w:val="0"/>
        <w:spacing w:before="180" w:after="120"/>
        <w:jc w:val="both"/>
        <w:rPr>
          <w:rFonts w:ascii="Calibri" w:hAnsi="Calibri"/>
          <w:b/>
        </w:rPr>
      </w:pPr>
      <w:r w:rsidRPr="00AC7A1F">
        <w:rPr>
          <w:rFonts w:ascii="Calibri" w:hAnsi="Calibri"/>
          <w:b/>
        </w:rPr>
        <w:fldChar w:fldCharType="begin"/>
      </w:r>
      <w:r w:rsidRPr="00AC7A1F">
        <w:rPr>
          <w:rFonts w:ascii="Calibri" w:hAnsi="Calibri"/>
          <w:b/>
        </w:rPr>
        <w:instrText xml:space="preserve"> REF _Ref79148056 \r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5E4394">
        <w:rPr>
          <w:rFonts w:ascii="Calibri" w:hAnsi="Calibri"/>
          <w:b/>
        </w:rPr>
        <w:t>Observation 1:</w:t>
      </w:r>
      <w:r w:rsidRPr="00AC7A1F">
        <w:rPr>
          <w:rFonts w:ascii="Calibri" w:hAnsi="Calibri"/>
          <w:b/>
        </w:rPr>
        <w:fldChar w:fldCharType="end"/>
      </w:r>
      <w:r w:rsidRPr="00AC7A1F">
        <w:rPr>
          <w:rFonts w:ascii="Calibri" w:hAnsi="Calibri"/>
          <w:b/>
        </w:rPr>
        <w:t xml:space="preserve"> </w:t>
      </w:r>
      <w:r w:rsidR="00291ACE">
        <w:rPr>
          <w:rFonts w:ascii="Calibri" w:hAnsi="Calibri"/>
          <w:b/>
        </w:rPr>
        <w:fldChar w:fldCharType="begin"/>
      </w:r>
      <w:r w:rsidR="00291ACE">
        <w:rPr>
          <w:rFonts w:ascii="Calibri" w:hAnsi="Calibri"/>
          <w:b/>
        </w:rPr>
        <w:instrText xml:space="preserve"> REF _Ref79148056 \h </w:instrText>
      </w:r>
      <w:r w:rsidR="00291ACE">
        <w:rPr>
          <w:rFonts w:ascii="Calibri" w:hAnsi="Calibri"/>
          <w:b/>
        </w:rPr>
      </w:r>
      <w:r w:rsidR="00291ACE">
        <w:rPr>
          <w:rFonts w:ascii="Calibri" w:hAnsi="Calibri"/>
          <w:b/>
        </w:rPr>
        <w:fldChar w:fldCharType="separate"/>
      </w:r>
      <w:r w:rsidR="00291ACE" w:rsidRPr="00474D23">
        <w:rPr>
          <w:rFonts w:eastAsia="SimSun"/>
          <w:b/>
          <w:lang w:val="en-US" w:eastAsia="zh-CN"/>
        </w:rPr>
        <w:t>The maximum timing synchronization error for a URLLC UE can be up to ±275ns and ±845ns for control-to-control and smart grid use cases, respectively</w:t>
      </w:r>
      <w:r w:rsidR="00291ACE" w:rsidRPr="00D34B64">
        <w:rPr>
          <w:rFonts w:cstheme="minorHAnsi"/>
          <w:b/>
          <w:lang w:eastAsia="ko-KR"/>
        </w:rPr>
        <w:t>.</w:t>
      </w:r>
      <w:r w:rsidR="00291ACE">
        <w:rPr>
          <w:rFonts w:ascii="Calibri" w:hAnsi="Calibri"/>
          <w:b/>
        </w:rPr>
        <w:fldChar w:fldCharType="end"/>
      </w:r>
    </w:p>
    <w:p w14:paraId="24E72310" w14:textId="10DB3FE5" w:rsidR="00291ACE" w:rsidRDefault="00291ACE" w:rsidP="00C02FF3">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_Ref79148073 \n \h </w:instrText>
      </w:r>
      <w:r>
        <w:rPr>
          <w:rFonts w:ascii="Calibri" w:hAnsi="Calibri"/>
          <w:b/>
        </w:rPr>
      </w:r>
      <w:r>
        <w:rPr>
          <w:rFonts w:ascii="Calibri" w:hAnsi="Calibri"/>
          <w:b/>
        </w:rPr>
        <w:fldChar w:fldCharType="separate"/>
      </w:r>
      <w:r>
        <w:rPr>
          <w:rFonts w:ascii="Calibri" w:hAnsi="Calibri"/>
          <w:b/>
        </w:rPr>
        <w:t>Observation 2:</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_Ref79148073 \h </w:instrText>
      </w:r>
      <w:r>
        <w:rPr>
          <w:rFonts w:ascii="Calibri" w:hAnsi="Calibri"/>
          <w:b/>
        </w:rPr>
      </w:r>
      <w:r>
        <w:rPr>
          <w:rFonts w:ascii="Calibri" w:hAnsi="Calibri"/>
          <w:b/>
        </w:rPr>
        <w:fldChar w:fldCharType="separate"/>
      </w:r>
      <w:r>
        <w:rPr>
          <w:rFonts w:cstheme="minorHAnsi"/>
          <w:b/>
          <w:lang w:eastAsia="ko-KR"/>
        </w:rPr>
        <w:t>The bandwidth of the DL reference signal for TA based method is one of the main timing error contributor to the initial timing error (Te)</w:t>
      </w:r>
      <w:r w:rsidRPr="00D34B64">
        <w:rPr>
          <w:rFonts w:cstheme="minorHAnsi"/>
          <w:b/>
          <w:lang w:eastAsia="ko-KR"/>
        </w:rPr>
        <w:t>.</w:t>
      </w:r>
      <w:r>
        <w:rPr>
          <w:rFonts w:cstheme="minorHAnsi"/>
          <w:b/>
          <w:lang w:eastAsia="ko-KR"/>
        </w:rPr>
        <w:t xml:space="preserve"> Hence, it is almost impossible to modify the existing Te error without using a new DL reference signal with a higher bandwidth.</w:t>
      </w:r>
      <w:r>
        <w:rPr>
          <w:rFonts w:ascii="Calibri" w:hAnsi="Calibri"/>
          <w:b/>
        </w:rPr>
        <w:fldChar w:fldCharType="end"/>
      </w:r>
    </w:p>
    <w:p w14:paraId="462EF441" w14:textId="0B081A52" w:rsidR="00291ACE" w:rsidRDefault="00291ACE" w:rsidP="00C02FF3">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_Ref79148086 \r \h </w:instrText>
      </w:r>
      <w:r>
        <w:rPr>
          <w:rFonts w:ascii="Calibri" w:hAnsi="Calibri"/>
          <w:b/>
        </w:rPr>
      </w:r>
      <w:r>
        <w:rPr>
          <w:rFonts w:ascii="Calibri" w:hAnsi="Calibri"/>
          <w:b/>
        </w:rPr>
        <w:fldChar w:fldCharType="separate"/>
      </w:r>
      <w:r>
        <w:rPr>
          <w:rFonts w:ascii="Calibri" w:hAnsi="Calibri"/>
          <w:b/>
        </w:rPr>
        <w:t>Observation 3:</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_Ref79148086 \h </w:instrText>
      </w:r>
      <w:r>
        <w:rPr>
          <w:rFonts w:ascii="Calibri" w:hAnsi="Calibri"/>
          <w:b/>
        </w:rPr>
      </w:r>
      <w:r>
        <w:rPr>
          <w:rFonts w:ascii="Calibri" w:hAnsi="Calibri"/>
          <w:b/>
        </w:rPr>
        <w:fldChar w:fldCharType="separate"/>
      </w:r>
      <w:r>
        <w:rPr>
          <w:rFonts w:cstheme="minorHAnsi"/>
          <w:b/>
          <w:lang w:eastAsia="ko-KR"/>
        </w:rPr>
        <w:t>Modifying the existing initial timing error (Te) table can have major impact on the existing 5G NR UEs.</w:t>
      </w:r>
      <w:r>
        <w:rPr>
          <w:rFonts w:ascii="Calibri" w:hAnsi="Calibri"/>
          <w:b/>
        </w:rPr>
        <w:fldChar w:fldCharType="end"/>
      </w:r>
    </w:p>
    <w:p w14:paraId="50E680A6" w14:textId="77777777" w:rsidR="00291ACE" w:rsidRPr="00AC7A1F" w:rsidRDefault="00291ACE" w:rsidP="00C02FF3">
      <w:pPr>
        <w:adjustRightInd w:val="0"/>
        <w:snapToGrid w:val="0"/>
        <w:spacing w:before="180" w:after="120"/>
        <w:jc w:val="both"/>
        <w:rPr>
          <w:rFonts w:ascii="Calibri" w:hAnsi="Calibri"/>
          <w:b/>
        </w:rPr>
      </w:pPr>
    </w:p>
    <w:p w14:paraId="36AEBFFA" w14:textId="650BC884" w:rsidR="00AC7A1F" w:rsidRDefault="00AC7A1F" w:rsidP="00210915">
      <w:pPr>
        <w:adjustRightInd w:val="0"/>
        <w:snapToGrid w:val="0"/>
        <w:spacing w:before="180" w:after="120"/>
        <w:jc w:val="both"/>
        <w:rPr>
          <w:rFonts w:ascii="Calibri" w:hAnsi="Calibri"/>
        </w:rPr>
      </w:pPr>
      <w:r>
        <w:rPr>
          <w:rFonts w:ascii="Calibri" w:hAnsi="Calibri"/>
        </w:rPr>
        <w:t xml:space="preserve">Also, we have the following proposals: </w:t>
      </w:r>
    </w:p>
    <w:p w14:paraId="6907A32C" w14:textId="7D4B8940" w:rsidR="00C02FF3" w:rsidRDefault="00AC7A1F" w:rsidP="00C02FF3">
      <w:pPr>
        <w:adjustRightInd w:val="0"/>
        <w:snapToGrid w:val="0"/>
        <w:spacing w:before="180" w:after="120"/>
        <w:jc w:val="both"/>
        <w:rPr>
          <w:rFonts w:ascii="Calibri" w:hAnsi="Calibri"/>
          <w:b/>
        </w:rPr>
      </w:pPr>
      <w:r w:rsidRPr="00AC7A1F">
        <w:rPr>
          <w:rFonts w:ascii="Calibri" w:hAnsi="Calibri"/>
          <w:b/>
        </w:rPr>
        <w:fldChar w:fldCharType="begin"/>
      </w:r>
      <w:r w:rsidRPr="00AC7A1F">
        <w:rPr>
          <w:rFonts w:ascii="Calibri" w:hAnsi="Calibri"/>
          <w:b/>
        </w:rPr>
        <w:instrText xml:space="preserve"> REF _Ref79148119 \r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5E4394">
        <w:rPr>
          <w:rFonts w:ascii="Calibri" w:hAnsi="Calibri"/>
          <w:b/>
        </w:rPr>
        <w:t>Proposal 1:</w:t>
      </w:r>
      <w:r w:rsidRPr="00AC7A1F">
        <w:rPr>
          <w:rFonts w:ascii="Calibri" w:hAnsi="Calibri"/>
          <w:b/>
        </w:rPr>
        <w:fldChar w:fldCharType="end"/>
      </w:r>
      <w:r w:rsidRPr="00AC7A1F">
        <w:rPr>
          <w:rFonts w:ascii="Calibri" w:hAnsi="Calibri"/>
          <w:b/>
        </w:rPr>
        <w:t xml:space="preserve"> </w:t>
      </w:r>
      <w:r w:rsidR="00291ACE">
        <w:rPr>
          <w:rFonts w:ascii="Calibri" w:hAnsi="Calibri"/>
          <w:b/>
        </w:rPr>
        <w:fldChar w:fldCharType="begin"/>
      </w:r>
      <w:r w:rsidR="00291ACE">
        <w:rPr>
          <w:rFonts w:ascii="Calibri" w:hAnsi="Calibri"/>
          <w:b/>
        </w:rPr>
        <w:instrText xml:space="preserve"> REF _Ref79148119 \h </w:instrText>
      </w:r>
      <w:r w:rsidR="00291ACE">
        <w:rPr>
          <w:rFonts w:ascii="Calibri" w:hAnsi="Calibri"/>
          <w:b/>
        </w:rPr>
      </w:r>
      <w:r w:rsidR="00291ACE">
        <w:rPr>
          <w:rFonts w:ascii="Calibri" w:hAnsi="Calibri"/>
          <w:b/>
        </w:rPr>
        <w:fldChar w:fldCharType="separate"/>
      </w:r>
      <w:r w:rsidR="00291ACE">
        <w:rPr>
          <w:rFonts w:cstheme="minorHAnsi"/>
          <w:b/>
          <w:lang w:eastAsia="ko-KR"/>
        </w:rPr>
        <w:t>Support keeping the initial timing error (Te) table unchanged.</w:t>
      </w:r>
      <w:r w:rsidR="00291ACE">
        <w:rPr>
          <w:rFonts w:ascii="Calibri" w:hAnsi="Calibri"/>
          <w:b/>
        </w:rPr>
        <w:fldChar w:fldCharType="end"/>
      </w:r>
    </w:p>
    <w:p w14:paraId="55DD49B8" w14:textId="40703EB6" w:rsidR="00291ACE" w:rsidRDefault="00291ACE" w:rsidP="00C02FF3">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_Ref79148131 \w \h </w:instrText>
      </w:r>
      <w:r>
        <w:rPr>
          <w:rFonts w:ascii="Calibri" w:hAnsi="Calibri"/>
          <w:b/>
        </w:rPr>
      </w:r>
      <w:r>
        <w:rPr>
          <w:rFonts w:ascii="Calibri" w:hAnsi="Calibri"/>
          <w:b/>
        </w:rPr>
        <w:fldChar w:fldCharType="separate"/>
      </w:r>
      <w:r>
        <w:rPr>
          <w:rFonts w:ascii="Calibri" w:hAnsi="Calibri"/>
          <w:b/>
        </w:rPr>
        <w:t>Proposal 2:</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_Ref79148131 \h </w:instrText>
      </w:r>
      <w:r>
        <w:rPr>
          <w:rFonts w:ascii="Calibri" w:hAnsi="Calibri"/>
          <w:b/>
        </w:rPr>
      </w:r>
      <w:r>
        <w:rPr>
          <w:rFonts w:ascii="Calibri" w:hAnsi="Calibri"/>
          <w:b/>
        </w:rPr>
        <w:fldChar w:fldCharType="separate"/>
      </w:r>
      <w:r>
        <w:rPr>
          <w:rFonts w:cstheme="minorHAnsi"/>
          <w:b/>
          <w:lang w:eastAsia="ko-KR"/>
        </w:rPr>
        <w:t>Support using higher subcarrier spacing for DL reference signal in TA based method for URLLC devices to ensure lower initial timing error (Te).</w:t>
      </w:r>
      <w:r>
        <w:rPr>
          <w:rFonts w:ascii="Calibri" w:hAnsi="Calibri"/>
          <w:b/>
        </w:rPr>
        <w:fldChar w:fldCharType="end"/>
      </w:r>
    </w:p>
    <w:p w14:paraId="2D22AE5A" w14:textId="7EAF48BA" w:rsidR="00291ACE" w:rsidRDefault="00291ACE" w:rsidP="00C02FF3">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_Ref85819492 \w \h </w:instrText>
      </w:r>
      <w:r>
        <w:rPr>
          <w:rFonts w:ascii="Calibri" w:hAnsi="Calibri"/>
          <w:b/>
        </w:rPr>
      </w:r>
      <w:r>
        <w:rPr>
          <w:rFonts w:ascii="Calibri" w:hAnsi="Calibri"/>
          <w:b/>
        </w:rPr>
        <w:fldChar w:fldCharType="separate"/>
      </w:r>
      <w:r>
        <w:rPr>
          <w:rFonts w:ascii="Calibri" w:hAnsi="Calibri"/>
          <w:b/>
        </w:rPr>
        <w:t>Proposal 3:</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_Ref85819492 \h </w:instrText>
      </w:r>
      <w:r>
        <w:rPr>
          <w:rFonts w:ascii="Calibri" w:hAnsi="Calibri"/>
          <w:b/>
        </w:rPr>
      </w:r>
      <w:r>
        <w:rPr>
          <w:rFonts w:ascii="Calibri" w:hAnsi="Calibri"/>
          <w:b/>
        </w:rPr>
        <w:fldChar w:fldCharType="separate"/>
      </w:r>
      <w:r>
        <w:rPr>
          <w:rFonts w:cstheme="minorHAnsi"/>
          <w:b/>
          <w:lang w:eastAsia="ko-KR"/>
        </w:rPr>
        <w:t>TA command indication granularity enhancement shall be left to RAN1 because it is not part of the RRM requirements.</w:t>
      </w:r>
      <w:r>
        <w:rPr>
          <w:rFonts w:ascii="Calibri" w:hAnsi="Calibri"/>
          <w:b/>
        </w:rPr>
        <w:fldChar w:fldCharType="end"/>
      </w:r>
    </w:p>
    <w:p w14:paraId="25860D2B" w14:textId="3D61B4C3" w:rsidR="00291ACE" w:rsidRPr="00AC7A1F" w:rsidRDefault="00291ACE" w:rsidP="00C02FF3">
      <w:pPr>
        <w:adjustRightInd w:val="0"/>
        <w:snapToGrid w:val="0"/>
        <w:spacing w:before="180" w:after="120"/>
        <w:jc w:val="both"/>
        <w:rPr>
          <w:rFonts w:ascii="Calibri" w:hAnsi="Calibri"/>
          <w:b/>
        </w:rPr>
      </w:pPr>
      <w:r>
        <w:rPr>
          <w:rFonts w:ascii="Calibri" w:hAnsi="Calibri"/>
          <w:b/>
        </w:rPr>
        <w:lastRenderedPageBreak/>
        <w:fldChar w:fldCharType="begin"/>
      </w:r>
      <w:r>
        <w:rPr>
          <w:rFonts w:ascii="Calibri" w:hAnsi="Calibri"/>
          <w:b/>
        </w:rPr>
        <w:instrText xml:space="preserve"> REF _Ref85819507 \w \h </w:instrText>
      </w:r>
      <w:r>
        <w:rPr>
          <w:rFonts w:ascii="Calibri" w:hAnsi="Calibri"/>
          <w:b/>
        </w:rPr>
      </w:r>
      <w:r>
        <w:rPr>
          <w:rFonts w:ascii="Calibri" w:hAnsi="Calibri"/>
          <w:b/>
        </w:rPr>
        <w:fldChar w:fldCharType="separate"/>
      </w:r>
      <w:r>
        <w:rPr>
          <w:rFonts w:ascii="Calibri" w:hAnsi="Calibri"/>
          <w:b/>
        </w:rPr>
        <w:t>Proposal 4:</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_Ref85819507 \h </w:instrText>
      </w:r>
      <w:r>
        <w:rPr>
          <w:rFonts w:ascii="Calibri" w:hAnsi="Calibri"/>
          <w:b/>
        </w:rPr>
      </w:r>
      <w:r>
        <w:rPr>
          <w:rFonts w:ascii="Calibri" w:hAnsi="Calibri"/>
          <w:b/>
        </w:rPr>
        <w:fldChar w:fldCharType="separate"/>
      </w:r>
      <w:r>
        <w:rPr>
          <w:rFonts w:cstheme="minorHAnsi"/>
          <w:b/>
          <w:lang w:eastAsia="ko-KR"/>
        </w:rPr>
        <w:t>RAN4 to respond to RAN1 as:</w:t>
      </w:r>
      <w:r>
        <w:rPr>
          <w:rFonts w:ascii="Calibri" w:hAnsi="Calibri"/>
          <w:b/>
        </w:rPr>
        <w:fldChar w:fldCharType="end"/>
      </w:r>
    </w:p>
    <w:tbl>
      <w:tblPr>
        <w:tblStyle w:val="TableGrid"/>
        <w:tblW w:w="0" w:type="auto"/>
        <w:tblLook w:val="04A0" w:firstRow="1" w:lastRow="0" w:firstColumn="1" w:lastColumn="0" w:noHBand="0" w:noVBand="1"/>
      </w:tblPr>
      <w:tblGrid>
        <w:gridCol w:w="9629"/>
      </w:tblGrid>
      <w:tr w:rsidR="00291ACE" w14:paraId="6163F629" w14:textId="77777777" w:rsidTr="00B469B6">
        <w:tc>
          <w:tcPr>
            <w:tcW w:w="9629" w:type="dxa"/>
          </w:tcPr>
          <w:p w14:paraId="20DC4537" w14:textId="77777777" w:rsidR="00291ACE" w:rsidRPr="003C6CFD" w:rsidRDefault="00291ACE" w:rsidP="00B469B6">
            <w:pPr>
              <w:spacing w:after="120"/>
              <w:jc w:val="both"/>
              <w:rPr>
                <w:rFonts w:cstheme="minorHAnsi"/>
                <w:color w:val="000000" w:themeColor="text1"/>
                <w:lang w:eastAsia="x-none"/>
              </w:rPr>
            </w:pPr>
            <w:r w:rsidRPr="003C6CFD">
              <w:rPr>
                <w:rFonts w:cstheme="minorHAnsi"/>
                <w:b/>
                <w:color w:val="000000" w:themeColor="text1"/>
              </w:rPr>
              <w:t>1. Overall Description:</w:t>
            </w:r>
          </w:p>
          <w:p w14:paraId="3D58224D" w14:textId="77777777" w:rsidR="00291ACE" w:rsidRDefault="00291ACE" w:rsidP="00B469B6">
            <w:pPr>
              <w:jc w:val="both"/>
            </w:pPr>
            <w:r w:rsidRPr="003C6CFD">
              <w:t>RAN4 would like to inform RAN</w:t>
            </w:r>
            <w:r>
              <w:t>1</w:t>
            </w:r>
            <w:r w:rsidRPr="003C6CFD">
              <w:t xml:space="preserve"> about the RAN4 </w:t>
            </w:r>
            <w:r>
              <w:t>feedback for their</w:t>
            </w:r>
            <w:r w:rsidRPr="003C6CFD">
              <w:t xml:space="preserve"> </w:t>
            </w:r>
            <w:r w:rsidRPr="002A23B7">
              <w:t xml:space="preserve">TA-based propagation delay compensation </w:t>
            </w:r>
            <w:r w:rsidRPr="003C6CFD">
              <w:t>question</w:t>
            </w:r>
            <w:r>
              <w:t>s</w:t>
            </w:r>
            <w:r w:rsidRPr="003C6CFD">
              <w:t>.</w:t>
            </w:r>
          </w:p>
          <w:p w14:paraId="7928BD36" w14:textId="77777777" w:rsidR="00291ACE" w:rsidRDefault="00291ACE" w:rsidP="00B469B6">
            <w:pPr>
              <w:pStyle w:val="ListParagraph"/>
              <w:numPr>
                <w:ilvl w:val="0"/>
                <w:numId w:val="40"/>
              </w:numPr>
              <w:jc w:val="both"/>
            </w:pPr>
            <w:r>
              <w:t xml:space="preserve">Answer to question 1: </w:t>
            </w:r>
          </w:p>
          <w:p w14:paraId="2AEFA745" w14:textId="77777777" w:rsidR="00291ACE" w:rsidRDefault="00291ACE" w:rsidP="00B469B6">
            <w:pPr>
              <w:pStyle w:val="ListParagraph"/>
              <w:numPr>
                <w:ilvl w:val="1"/>
                <w:numId w:val="40"/>
              </w:numPr>
              <w:jc w:val="both"/>
            </w:pPr>
            <w:r>
              <w:t xml:space="preserve">Part 1: No, it is not feasible to support smaller value than the current Te assuming the existing conditions </w:t>
            </w:r>
            <w:r w:rsidRPr="002A23B7">
              <w:t>in TS 38.133 for Te requirement</w:t>
            </w:r>
            <w:r>
              <w:t xml:space="preserve">.  </w:t>
            </w:r>
          </w:p>
          <w:p w14:paraId="46F0D636" w14:textId="77777777" w:rsidR="00291ACE" w:rsidRDefault="00291ACE" w:rsidP="00B469B6">
            <w:pPr>
              <w:pStyle w:val="ListParagraph"/>
              <w:numPr>
                <w:ilvl w:val="1"/>
                <w:numId w:val="40"/>
              </w:numPr>
              <w:jc w:val="both"/>
            </w:pPr>
            <w:r>
              <w:t>Part 2: Yes, Te value can be reduced if the DL BW signal is larger than the BW of SSB signal.</w:t>
            </w:r>
          </w:p>
          <w:p w14:paraId="2056AEC9" w14:textId="77777777" w:rsidR="00291ACE" w:rsidRDefault="00291ACE" w:rsidP="00B469B6">
            <w:pPr>
              <w:pStyle w:val="ListParagraph"/>
              <w:numPr>
                <w:ilvl w:val="1"/>
                <w:numId w:val="40"/>
              </w:numPr>
              <w:jc w:val="both"/>
            </w:pPr>
            <w:r>
              <w:t>Part 3: RAN1 can use the following formula to find the enhanced Te for different BW:</w:t>
            </w:r>
          </w:p>
          <w:p w14:paraId="387C0E57" w14:textId="77777777" w:rsidR="00291ACE" w:rsidRDefault="00291ACE" w:rsidP="00B469B6">
            <w:pPr>
              <w:jc w:val="both"/>
              <w:rPr>
                <w:lang w:eastAsia="zh-CN"/>
              </w:rPr>
            </w:pPr>
            <m:oMathPara>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 xml:space="preserve">e </m:t>
                    </m:r>
                  </m:sub>
                </m:sSub>
                <m:r>
                  <w:rPr>
                    <w:rFonts w:ascii="Cambria Math" w:hAnsi="Cambria Math"/>
                    <w:lang w:eastAsia="zh-CN"/>
                  </w:rPr>
                  <m:t>=7.8*64*</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 xml:space="preserve">c </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2*BW</m:t>
                    </m:r>
                  </m:den>
                </m:f>
              </m:oMath>
            </m:oMathPara>
          </w:p>
          <w:p w14:paraId="0A3EF7BA" w14:textId="77777777" w:rsidR="00291ACE" w:rsidRPr="003C6CFD" w:rsidRDefault="00291ACE" w:rsidP="00B469B6">
            <w:pPr>
              <w:pStyle w:val="ListParagraph"/>
              <w:numPr>
                <w:ilvl w:val="0"/>
                <w:numId w:val="40"/>
              </w:numPr>
              <w:jc w:val="both"/>
            </w:pPr>
            <w:r>
              <w:t>Answer to question 2: whether it is feasible to enhance TA command indication granularity should be left to RAN1 because it is defined in TS 38.213 and it is not part of the RAN4 defined requirements.</w:t>
            </w:r>
          </w:p>
          <w:p w14:paraId="2CB23F10" w14:textId="77777777" w:rsidR="00291ACE" w:rsidRPr="003C6CFD" w:rsidRDefault="00291ACE" w:rsidP="00B469B6">
            <w:pPr>
              <w:spacing w:after="120"/>
              <w:jc w:val="both"/>
              <w:rPr>
                <w:rFonts w:cstheme="minorHAnsi"/>
                <w:b/>
                <w:color w:val="000000" w:themeColor="text1"/>
              </w:rPr>
            </w:pPr>
            <w:r w:rsidRPr="003C6CFD">
              <w:rPr>
                <w:rFonts w:cstheme="minorHAnsi"/>
                <w:b/>
                <w:color w:val="000000" w:themeColor="text1"/>
              </w:rPr>
              <w:t>2. To RAN WG</w:t>
            </w:r>
            <w:r>
              <w:rPr>
                <w:rFonts w:cstheme="minorHAnsi"/>
                <w:b/>
                <w:color w:val="000000" w:themeColor="text1"/>
              </w:rPr>
              <w:t>1</w:t>
            </w:r>
            <w:r w:rsidRPr="003C6CFD">
              <w:rPr>
                <w:rFonts w:cstheme="minorHAnsi"/>
                <w:b/>
                <w:color w:val="000000" w:themeColor="text1"/>
              </w:rPr>
              <w:t xml:space="preserve"> group. </w:t>
            </w:r>
          </w:p>
          <w:p w14:paraId="4D2A0DE5" w14:textId="77777777" w:rsidR="00291ACE" w:rsidRDefault="00291ACE" w:rsidP="00B469B6">
            <w:pPr>
              <w:pStyle w:val="ListParagraph"/>
              <w:spacing w:after="180"/>
              <w:ind w:left="0"/>
              <w:contextualSpacing w:val="0"/>
              <w:jc w:val="both"/>
              <w:rPr>
                <w:color w:val="000000" w:themeColor="text1"/>
              </w:rPr>
            </w:pPr>
            <w:r w:rsidRPr="003C6CFD">
              <w:rPr>
                <w:rFonts w:cstheme="minorHAnsi"/>
                <w:b/>
                <w:color w:val="000000" w:themeColor="text1"/>
              </w:rPr>
              <w:t>ACTION:</w:t>
            </w:r>
            <w:r w:rsidRPr="00BA60DE">
              <w:rPr>
                <w:rFonts w:ascii="Arial" w:hAnsi="Arial" w:cs="Arial"/>
                <w:b/>
                <w:color w:val="000000" w:themeColor="text1"/>
                <w:sz w:val="20"/>
              </w:rPr>
              <w:t xml:space="preserve"> </w:t>
            </w:r>
            <w:r w:rsidRPr="003C6CFD">
              <w:t>RAN4 kindly ask RAN</w:t>
            </w:r>
            <w:r>
              <w:t>1</w:t>
            </w:r>
            <w:r w:rsidRPr="003C6CFD">
              <w:t xml:space="preserve"> take above information in to consideration.</w:t>
            </w:r>
          </w:p>
        </w:tc>
      </w:tr>
    </w:tbl>
    <w:p w14:paraId="2ED401FD" w14:textId="3AFDA98D" w:rsidR="00AC7A1F" w:rsidRPr="00AC7A1F" w:rsidRDefault="00AC7A1F" w:rsidP="00210915">
      <w:pPr>
        <w:adjustRightInd w:val="0"/>
        <w:snapToGrid w:val="0"/>
        <w:spacing w:before="180" w:after="120"/>
        <w:jc w:val="both"/>
        <w:rPr>
          <w:rFonts w:ascii="Calibri" w:hAnsi="Calibri"/>
          <w:b/>
        </w:rPr>
      </w:pPr>
      <w:bookmarkStart w:id="9" w:name="_GoBack"/>
      <w:bookmarkEnd w:id="9"/>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3D89C75" w14:textId="1B89C963" w:rsidR="00D406A2" w:rsidRDefault="00210915" w:rsidP="00D406A2">
      <w:pPr>
        <w:pStyle w:val="ListParagraph"/>
        <w:numPr>
          <w:ilvl w:val="0"/>
          <w:numId w:val="31"/>
        </w:numPr>
        <w:contextualSpacing w:val="0"/>
      </w:pPr>
      <w:bookmarkStart w:id="10" w:name="_Ref85793724"/>
      <w:r>
        <w:rPr>
          <w:lang w:val="en-US"/>
        </w:rPr>
        <w:t>RP-</w:t>
      </w:r>
      <w:r w:rsidRPr="002F4B6F">
        <w:rPr>
          <w:lang w:val="en-US"/>
        </w:rPr>
        <w:t>201310, “Revised WID: Enhanced Industrial Internet of Things (IoT) and ultra-reliable and low latency communication (URLLC) support for NR”, Nokia, RAN#88e, June, 2020</w:t>
      </w:r>
      <w:r w:rsidR="004F38F4">
        <w:t>.</w:t>
      </w:r>
      <w:bookmarkEnd w:id="10"/>
    </w:p>
    <w:p w14:paraId="512174B4" w14:textId="43FA87D2" w:rsidR="0098287F" w:rsidRDefault="00944DF5" w:rsidP="00944DF5">
      <w:pPr>
        <w:pStyle w:val="ListParagraph"/>
        <w:numPr>
          <w:ilvl w:val="0"/>
          <w:numId w:val="31"/>
        </w:numPr>
        <w:contextualSpacing w:val="0"/>
      </w:pPr>
      <w:bookmarkStart w:id="11" w:name="_Ref85793766"/>
      <w:r>
        <w:t>R4-2117012 (R1-2108635), “</w:t>
      </w:r>
      <w:r w:rsidRPr="00944DF5">
        <w:t>LS on TA-based propagation delay compensation</w:t>
      </w:r>
      <w:r>
        <w:t>”.</w:t>
      </w:r>
    </w:p>
    <w:p w14:paraId="41ADA7C5" w14:textId="6EE93E9D" w:rsidR="00F843F1" w:rsidRDefault="00210915" w:rsidP="00D406A2">
      <w:pPr>
        <w:pStyle w:val="ListParagraph"/>
        <w:numPr>
          <w:ilvl w:val="0"/>
          <w:numId w:val="31"/>
        </w:numPr>
        <w:contextualSpacing w:val="0"/>
      </w:pPr>
      <w:bookmarkStart w:id="12" w:name="_Ref79143075"/>
      <w:bookmarkEnd w:id="11"/>
      <w:r>
        <w:t>S1-</w:t>
      </w:r>
      <w:r w:rsidRPr="002F4B6F">
        <w:t xml:space="preserve">202303, “Clock synchronicity budget </w:t>
      </w:r>
      <w:r w:rsidRPr="002F4B6F">
        <w:rPr>
          <w:iCs/>
        </w:rPr>
        <w:t>for the 5G system”</w:t>
      </w:r>
      <w:r w:rsidRPr="002F4B6F">
        <w:t>, Ericsson, N</w:t>
      </w:r>
      <w:r w:rsidRPr="002F4B6F">
        <w:rPr>
          <w:lang w:eastAsia="en-GB"/>
        </w:rPr>
        <w:t>okia, Nokia Shanghai Bell, Orange, Verizon, Vodafone, SA1 #90, May 2020</w:t>
      </w:r>
      <w:r>
        <w:rPr>
          <w:lang w:eastAsia="en-GB"/>
        </w:rPr>
        <w:t>.</w:t>
      </w:r>
      <w:bookmarkEnd w:id="12"/>
    </w:p>
    <w:p w14:paraId="4597E2EC" w14:textId="1E6A9EF8" w:rsidR="00210915" w:rsidRPr="00990B41" w:rsidRDefault="00210915" w:rsidP="00D406A2">
      <w:pPr>
        <w:pStyle w:val="ListParagraph"/>
        <w:numPr>
          <w:ilvl w:val="0"/>
          <w:numId w:val="31"/>
        </w:numPr>
        <w:contextualSpacing w:val="0"/>
      </w:pPr>
      <w:bookmarkStart w:id="13" w:name="_Ref79143092"/>
      <w:r>
        <w:rPr>
          <w:lang w:eastAsia="en-GB"/>
        </w:rPr>
        <w:t>R2-</w:t>
      </w:r>
      <w:r w:rsidRPr="002F4B6F">
        <w:rPr>
          <w:lang w:val="en-US"/>
        </w:rPr>
        <w:t>2010837, “Reply LS on propagation delay compensation enhancements”, 3GPP TSG-RAN WG2 Meeting #112 Electronic, 02-13 November 2020</w:t>
      </w:r>
      <w:r>
        <w:rPr>
          <w:lang w:val="en-US"/>
        </w:rPr>
        <w:t>.</w:t>
      </w:r>
      <w:bookmarkEnd w:id="13"/>
    </w:p>
    <w:p w14:paraId="738FBE3D" w14:textId="7FF2229E" w:rsidR="00DD03B9" w:rsidRDefault="000D15EA" w:rsidP="00D406A2">
      <w:pPr>
        <w:pStyle w:val="ListParagraph"/>
        <w:numPr>
          <w:ilvl w:val="0"/>
          <w:numId w:val="31"/>
        </w:numPr>
        <w:contextualSpacing w:val="0"/>
      </w:pPr>
      <w:bookmarkStart w:id="14" w:name="_Ref67924075"/>
      <w:r>
        <w:t xml:space="preserve">3GPP TS 38.133 V17.0.0, </w:t>
      </w:r>
      <w:r w:rsidR="007C2619">
        <w:t>“</w:t>
      </w:r>
      <w:r w:rsidR="00A167FB" w:rsidRPr="002F4B6F">
        <w:rPr>
          <w:bCs/>
        </w:rPr>
        <w:t xml:space="preserve">Technical Specification Group Radio Access Network; </w:t>
      </w:r>
      <w:r w:rsidR="007C2619">
        <w:t xml:space="preserve">NR; </w:t>
      </w:r>
      <w:r w:rsidR="007C2619">
        <w:rPr>
          <w:rFonts w:cs="v4.2.0"/>
        </w:rPr>
        <w:t>Requirements for support of radio resource management</w:t>
      </w:r>
      <w:r w:rsidR="007C2619">
        <w:t>”.</w:t>
      </w:r>
      <w:bookmarkEnd w:id="14"/>
    </w:p>
    <w:p w14:paraId="09CE8B9C" w14:textId="545B8F77" w:rsidR="005912BF" w:rsidRDefault="005912BF" w:rsidP="00610939">
      <w:pPr>
        <w:pStyle w:val="ListParagraph"/>
        <w:numPr>
          <w:ilvl w:val="0"/>
          <w:numId w:val="31"/>
        </w:numPr>
        <w:contextualSpacing w:val="0"/>
      </w:pPr>
      <w:bookmarkStart w:id="15" w:name="_Ref79146040"/>
      <w:r>
        <w:t>R4-1713648</w:t>
      </w:r>
      <w:bookmarkEnd w:id="15"/>
      <w:r w:rsidR="00610939">
        <w:t>, “</w:t>
      </w:r>
      <w:r w:rsidR="00610939" w:rsidRPr="00610939">
        <w:t>Even Further Analysis of UE Initial Transmit Timing Requirement</w:t>
      </w:r>
      <w:r w:rsidR="00610939">
        <w:t>”.</w:t>
      </w:r>
    </w:p>
    <w:p w14:paraId="01D764C9" w14:textId="4B6DDAAF" w:rsidR="005912BF" w:rsidRDefault="00610939" w:rsidP="00610939">
      <w:pPr>
        <w:pStyle w:val="ListParagraph"/>
        <w:numPr>
          <w:ilvl w:val="0"/>
          <w:numId w:val="31"/>
        </w:numPr>
        <w:contextualSpacing w:val="0"/>
      </w:pPr>
      <w:bookmarkStart w:id="16" w:name="_Ref79147732"/>
      <w:r>
        <w:t>R4-1801401, “</w:t>
      </w:r>
      <w:r w:rsidRPr="00610939">
        <w:t>RAN4#85 Meeting report</w:t>
      </w:r>
      <w:r>
        <w:t>”.</w:t>
      </w:r>
      <w:bookmarkEnd w:id="16"/>
    </w:p>
    <w:p w14:paraId="099C9318" w14:textId="06ABFF96" w:rsidR="00610939" w:rsidRDefault="00610939" w:rsidP="00610939">
      <w:pPr>
        <w:pStyle w:val="ListParagraph"/>
        <w:numPr>
          <w:ilvl w:val="0"/>
          <w:numId w:val="31"/>
        </w:numPr>
        <w:contextualSpacing w:val="0"/>
      </w:pPr>
      <w:bookmarkStart w:id="17" w:name="_Ref79146516"/>
      <w:r>
        <w:t>R4-1713717, “</w:t>
      </w:r>
      <w:r w:rsidRPr="00610939">
        <w:t>UE transmit timing, UE timer accuracy and timing</w:t>
      </w:r>
      <w:r>
        <w:t>”.</w:t>
      </w:r>
      <w:bookmarkEnd w:id="17"/>
    </w:p>
    <w:p w14:paraId="66D6A8FD" w14:textId="2C3F6EED" w:rsidR="0021235A" w:rsidRPr="006A3297" w:rsidRDefault="0021235A" w:rsidP="006A3297"/>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0A92D" w14:textId="77777777" w:rsidR="006609A0" w:rsidRDefault="006609A0">
      <w:r>
        <w:separator/>
      </w:r>
    </w:p>
  </w:endnote>
  <w:endnote w:type="continuationSeparator" w:id="0">
    <w:p w14:paraId="0A087F4F" w14:textId="77777777" w:rsidR="006609A0" w:rsidRDefault="0066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1D173" w14:textId="77777777" w:rsidR="006609A0" w:rsidRDefault="006609A0">
      <w:r>
        <w:separator/>
      </w:r>
    </w:p>
  </w:footnote>
  <w:footnote w:type="continuationSeparator" w:id="0">
    <w:p w14:paraId="0B68B7B6" w14:textId="77777777" w:rsidR="006609A0" w:rsidRDefault="006609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B316E85"/>
    <w:multiLevelType w:val="hybridMultilevel"/>
    <w:tmpl w:val="49D82FF4"/>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D01519C"/>
    <w:multiLevelType w:val="hybridMultilevel"/>
    <w:tmpl w:val="CE760DAC"/>
    <w:lvl w:ilvl="0" w:tplc="08090001">
      <w:start w:val="1"/>
      <w:numFmt w:val="bullet"/>
      <w:lvlText w:val=""/>
      <w:lvlJc w:val="left"/>
      <w:pPr>
        <w:ind w:left="644" w:hanging="360"/>
      </w:pPr>
      <w:rPr>
        <w:rFonts w:ascii="Symbol" w:hAnsi="Symbol" w:hint="default"/>
      </w:rPr>
    </w:lvl>
    <w:lvl w:ilvl="1" w:tplc="0809000F">
      <w:start w:val="1"/>
      <w:numFmt w:val="decimal"/>
      <w:lvlText w:val="%2."/>
      <w:lvlJc w:val="left"/>
      <w:pPr>
        <w:ind w:left="1364" w:hanging="360"/>
      </w:pPr>
      <w:rPr>
        <w:rFont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4">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1">
    <w:nsid w:val="65437E53"/>
    <w:multiLevelType w:val="hybridMultilevel"/>
    <w:tmpl w:val="044C4B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F3146C"/>
    <w:multiLevelType w:val="hybridMultilevel"/>
    <w:tmpl w:val="2F6CBC6A"/>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4"/>
  </w:num>
  <w:num w:numId="2">
    <w:abstractNumId w:val="15"/>
  </w:num>
  <w:num w:numId="3">
    <w:abstractNumId w:val="2"/>
  </w:num>
  <w:num w:numId="4">
    <w:abstractNumId w:val="1"/>
  </w:num>
  <w:num w:numId="5">
    <w:abstractNumId w:val="13"/>
  </w:num>
  <w:num w:numId="6">
    <w:abstractNumId w:val="29"/>
  </w:num>
  <w:num w:numId="7">
    <w:abstractNumId w:val="17"/>
  </w:num>
  <w:num w:numId="8">
    <w:abstractNumId w:val="37"/>
  </w:num>
  <w:num w:numId="9">
    <w:abstractNumId w:val="27"/>
  </w:num>
  <w:num w:numId="10">
    <w:abstractNumId w:val="0"/>
  </w:num>
  <w:num w:numId="11">
    <w:abstractNumId w:val="6"/>
  </w:num>
  <w:num w:numId="12">
    <w:abstractNumId w:val="30"/>
  </w:num>
  <w:num w:numId="13">
    <w:abstractNumId w:val="23"/>
  </w:num>
  <w:num w:numId="14">
    <w:abstractNumId w:val="5"/>
  </w:num>
  <w:num w:numId="15">
    <w:abstractNumId w:val="10"/>
  </w:num>
  <w:num w:numId="16">
    <w:abstractNumId w:val="28"/>
  </w:num>
  <w:num w:numId="17">
    <w:abstractNumId w:val="12"/>
  </w:num>
  <w:num w:numId="18">
    <w:abstractNumId w:val="22"/>
  </w:num>
  <w:num w:numId="19">
    <w:abstractNumId w:val="35"/>
  </w:num>
  <w:num w:numId="20">
    <w:abstractNumId w:val="26"/>
  </w:num>
  <w:num w:numId="21">
    <w:abstractNumId w:val="36"/>
  </w:num>
  <w:num w:numId="22">
    <w:abstractNumId w:val="32"/>
  </w:num>
  <w:num w:numId="23">
    <w:abstractNumId w:val="25"/>
  </w:num>
  <w:num w:numId="24">
    <w:abstractNumId w:val="14"/>
  </w:num>
  <w:num w:numId="25">
    <w:abstractNumId w:val="24"/>
  </w:num>
  <w:num w:numId="26">
    <w:abstractNumId w:val="19"/>
  </w:num>
  <w:num w:numId="27">
    <w:abstractNumId w:val="18"/>
  </w:num>
  <w:num w:numId="28">
    <w:abstractNumId w:val="4"/>
  </w:num>
  <w:num w:numId="29">
    <w:abstractNumId w:val="33"/>
  </w:num>
  <w:num w:numId="30">
    <w:abstractNumId w:val="20"/>
  </w:num>
  <w:num w:numId="31">
    <w:abstractNumId w:val="8"/>
  </w:num>
  <w:num w:numId="32">
    <w:abstractNumId w:val="11"/>
  </w:num>
  <w:num w:numId="33">
    <w:abstractNumId w:val="38"/>
  </w:num>
  <w:num w:numId="34">
    <w:abstractNumId w:val="39"/>
  </w:num>
  <w:num w:numId="35">
    <w:abstractNumId w:val="16"/>
  </w:num>
  <w:num w:numId="36">
    <w:abstractNumId w:val="31"/>
  </w:num>
  <w:num w:numId="37">
    <w:abstractNumId w:val="9"/>
  </w:num>
  <w:num w:numId="38">
    <w:abstractNumId w:val="3"/>
  </w:num>
  <w:num w:numId="39">
    <w:abstractNumId w:val="7"/>
  </w:num>
  <w:num w:numId="4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07517"/>
    <w:rsid w:val="00010086"/>
    <w:rsid w:val="00010823"/>
    <w:rsid w:val="00010D4A"/>
    <w:rsid w:val="000116F3"/>
    <w:rsid w:val="00011779"/>
    <w:rsid w:val="00011B0F"/>
    <w:rsid w:val="0001295C"/>
    <w:rsid w:val="00012A64"/>
    <w:rsid w:val="000134B0"/>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53"/>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40"/>
    <w:rsid w:val="00046398"/>
    <w:rsid w:val="00046758"/>
    <w:rsid w:val="00046783"/>
    <w:rsid w:val="00046C57"/>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40B"/>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67F"/>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20E"/>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E5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3A1"/>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6D9"/>
    <w:rsid w:val="000C772F"/>
    <w:rsid w:val="000D0027"/>
    <w:rsid w:val="000D0335"/>
    <w:rsid w:val="000D08C9"/>
    <w:rsid w:val="000D1281"/>
    <w:rsid w:val="000D1577"/>
    <w:rsid w:val="000D15E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BEC"/>
    <w:rsid w:val="00103E62"/>
    <w:rsid w:val="00104279"/>
    <w:rsid w:val="00104623"/>
    <w:rsid w:val="00105358"/>
    <w:rsid w:val="00105D0A"/>
    <w:rsid w:val="00105D4D"/>
    <w:rsid w:val="00105FE2"/>
    <w:rsid w:val="0010602F"/>
    <w:rsid w:val="0010616E"/>
    <w:rsid w:val="0010668E"/>
    <w:rsid w:val="001069A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543"/>
    <w:rsid w:val="001246B3"/>
    <w:rsid w:val="001249D1"/>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47ACC"/>
    <w:rsid w:val="00147E94"/>
    <w:rsid w:val="001501F9"/>
    <w:rsid w:val="00150222"/>
    <w:rsid w:val="0015087F"/>
    <w:rsid w:val="00150C88"/>
    <w:rsid w:val="00151039"/>
    <w:rsid w:val="00151893"/>
    <w:rsid w:val="00151B29"/>
    <w:rsid w:val="00151B93"/>
    <w:rsid w:val="0015216A"/>
    <w:rsid w:val="001529BC"/>
    <w:rsid w:val="00152F51"/>
    <w:rsid w:val="00152FB5"/>
    <w:rsid w:val="001531ED"/>
    <w:rsid w:val="0015350C"/>
    <w:rsid w:val="00153CE8"/>
    <w:rsid w:val="001542E6"/>
    <w:rsid w:val="0015441A"/>
    <w:rsid w:val="0015455A"/>
    <w:rsid w:val="00154BC6"/>
    <w:rsid w:val="00154C04"/>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7D3"/>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5E9A"/>
    <w:rsid w:val="00176645"/>
    <w:rsid w:val="0017691C"/>
    <w:rsid w:val="00176DFB"/>
    <w:rsid w:val="00176ED6"/>
    <w:rsid w:val="00177943"/>
    <w:rsid w:val="00177E0A"/>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16F"/>
    <w:rsid w:val="001A4272"/>
    <w:rsid w:val="001A442D"/>
    <w:rsid w:val="001A4F45"/>
    <w:rsid w:val="001A510E"/>
    <w:rsid w:val="001A5AAB"/>
    <w:rsid w:val="001A5B71"/>
    <w:rsid w:val="001A656C"/>
    <w:rsid w:val="001A6C7B"/>
    <w:rsid w:val="001A6E8C"/>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1AB"/>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08E4"/>
    <w:rsid w:val="001D1A64"/>
    <w:rsid w:val="001D202B"/>
    <w:rsid w:val="001D23C2"/>
    <w:rsid w:val="001D241B"/>
    <w:rsid w:val="001D2ABA"/>
    <w:rsid w:val="001D2C8A"/>
    <w:rsid w:val="001D3830"/>
    <w:rsid w:val="001D4102"/>
    <w:rsid w:val="001D4501"/>
    <w:rsid w:val="001D4863"/>
    <w:rsid w:val="001D4B44"/>
    <w:rsid w:val="001D4BCF"/>
    <w:rsid w:val="001D4E5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299"/>
    <w:rsid w:val="00207064"/>
    <w:rsid w:val="002072BD"/>
    <w:rsid w:val="00207CC5"/>
    <w:rsid w:val="00207D20"/>
    <w:rsid w:val="00207ED9"/>
    <w:rsid w:val="002101C3"/>
    <w:rsid w:val="002104D2"/>
    <w:rsid w:val="00210691"/>
    <w:rsid w:val="00210915"/>
    <w:rsid w:val="00210967"/>
    <w:rsid w:val="002113D4"/>
    <w:rsid w:val="00211AB2"/>
    <w:rsid w:val="002120D2"/>
    <w:rsid w:val="0021235A"/>
    <w:rsid w:val="002123B9"/>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984"/>
    <w:rsid w:val="00220D68"/>
    <w:rsid w:val="00221095"/>
    <w:rsid w:val="002216F2"/>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37829"/>
    <w:rsid w:val="00237B13"/>
    <w:rsid w:val="00240018"/>
    <w:rsid w:val="002400C4"/>
    <w:rsid w:val="00240873"/>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E3F"/>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E00"/>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41"/>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277"/>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1AC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B7"/>
    <w:rsid w:val="002A23D9"/>
    <w:rsid w:val="002A2B47"/>
    <w:rsid w:val="002A2ED1"/>
    <w:rsid w:val="002A3282"/>
    <w:rsid w:val="002A340D"/>
    <w:rsid w:val="002A34AD"/>
    <w:rsid w:val="002A352A"/>
    <w:rsid w:val="002A3C33"/>
    <w:rsid w:val="002A40FD"/>
    <w:rsid w:val="002A4A03"/>
    <w:rsid w:val="002A4D6B"/>
    <w:rsid w:val="002A5188"/>
    <w:rsid w:val="002A5809"/>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167"/>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5CA4"/>
    <w:rsid w:val="002B606E"/>
    <w:rsid w:val="002B6194"/>
    <w:rsid w:val="002B6433"/>
    <w:rsid w:val="002B6850"/>
    <w:rsid w:val="002B6DF5"/>
    <w:rsid w:val="002B6EAC"/>
    <w:rsid w:val="002B70BB"/>
    <w:rsid w:val="002B773C"/>
    <w:rsid w:val="002B7DE6"/>
    <w:rsid w:val="002B7E58"/>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966"/>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5FED"/>
    <w:rsid w:val="002F60A8"/>
    <w:rsid w:val="002F64BB"/>
    <w:rsid w:val="002F6C08"/>
    <w:rsid w:val="002F6CBF"/>
    <w:rsid w:val="002F6CF8"/>
    <w:rsid w:val="002F72DA"/>
    <w:rsid w:val="002F7FF6"/>
    <w:rsid w:val="0030017A"/>
    <w:rsid w:val="003001CA"/>
    <w:rsid w:val="003002F9"/>
    <w:rsid w:val="003009F3"/>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A17"/>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5D3F"/>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9DE"/>
    <w:rsid w:val="00344F8D"/>
    <w:rsid w:val="00345022"/>
    <w:rsid w:val="00345213"/>
    <w:rsid w:val="00345BB2"/>
    <w:rsid w:val="00345F76"/>
    <w:rsid w:val="0034604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555E"/>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09AD"/>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DC0"/>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5580"/>
    <w:rsid w:val="003D5D22"/>
    <w:rsid w:val="003D6825"/>
    <w:rsid w:val="003D69EB"/>
    <w:rsid w:val="003D6BC6"/>
    <w:rsid w:val="003D780C"/>
    <w:rsid w:val="003D7EDC"/>
    <w:rsid w:val="003E0483"/>
    <w:rsid w:val="003E051E"/>
    <w:rsid w:val="003E08CC"/>
    <w:rsid w:val="003E0C15"/>
    <w:rsid w:val="003E0D12"/>
    <w:rsid w:val="003E12EA"/>
    <w:rsid w:val="003E167D"/>
    <w:rsid w:val="003E172E"/>
    <w:rsid w:val="003E1AD6"/>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191"/>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3F5"/>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468"/>
    <w:rsid w:val="004278E7"/>
    <w:rsid w:val="00427C75"/>
    <w:rsid w:val="00427D47"/>
    <w:rsid w:val="00430015"/>
    <w:rsid w:val="00430458"/>
    <w:rsid w:val="00430959"/>
    <w:rsid w:val="00430A9D"/>
    <w:rsid w:val="00430AFC"/>
    <w:rsid w:val="00430B5E"/>
    <w:rsid w:val="00430FB5"/>
    <w:rsid w:val="004311F0"/>
    <w:rsid w:val="0043148E"/>
    <w:rsid w:val="00431A56"/>
    <w:rsid w:val="00431DAB"/>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806"/>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D23"/>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1C5"/>
    <w:rsid w:val="004B73B0"/>
    <w:rsid w:val="004B74FF"/>
    <w:rsid w:val="004B783F"/>
    <w:rsid w:val="004B7944"/>
    <w:rsid w:val="004B7AC9"/>
    <w:rsid w:val="004B7BB8"/>
    <w:rsid w:val="004C00BD"/>
    <w:rsid w:val="004C079A"/>
    <w:rsid w:val="004C0AAD"/>
    <w:rsid w:val="004C0EFB"/>
    <w:rsid w:val="004C0F44"/>
    <w:rsid w:val="004C12CB"/>
    <w:rsid w:val="004C1465"/>
    <w:rsid w:val="004C14D0"/>
    <w:rsid w:val="004C1BCD"/>
    <w:rsid w:val="004C1C66"/>
    <w:rsid w:val="004C2137"/>
    <w:rsid w:val="004C23B8"/>
    <w:rsid w:val="004C34FA"/>
    <w:rsid w:val="004C3558"/>
    <w:rsid w:val="004C3A13"/>
    <w:rsid w:val="004C4301"/>
    <w:rsid w:val="004C452A"/>
    <w:rsid w:val="004C4D78"/>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AEA"/>
    <w:rsid w:val="004D3FA6"/>
    <w:rsid w:val="004D4225"/>
    <w:rsid w:val="004D445E"/>
    <w:rsid w:val="004D44FF"/>
    <w:rsid w:val="004D4614"/>
    <w:rsid w:val="004D4A5E"/>
    <w:rsid w:val="004D5567"/>
    <w:rsid w:val="004D5D00"/>
    <w:rsid w:val="004D6436"/>
    <w:rsid w:val="004D744F"/>
    <w:rsid w:val="004D7B89"/>
    <w:rsid w:val="004D7E05"/>
    <w:rsid w:val="004E07BB"/>
    <w:rsid w:val="004E09FC"/>
    <w:rsid w:val="004E0BCB"/>
    <w:rsid w:val="004E0CAA"/>
    <w:rsid w:val="004E0F2A"/>
    <w:rsid w:val="004E1030"/>
    <w:rsid w:val="004E1230"/>
    <w:rsid w:val="004E1B3E"/>
    <w:rsid w:val="004E1D09"/>
    <w:rsid w:val="004E1DA7"/>
    <w:rsid w:val="004E2242"/>
    <w:rsid w:val="004E27A5"/>
    <w:rsid w:val="004E32F4"/>
    <w:rsid w:val="004E378A"/>
    <w:rsid w:val="004E3899"/>
    <w:rsid w:val="004E4BAD"/>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966"/>
    <w:rsid w:val="004F1A95"/>
    <w:rsid w:val="004F2ADF"/>
    <w:rsid w:val="004F3489"/>
    <w:rsid w:val="004F38F4"/>
    <w:rsid w:val="004F452D"/>
    <w:rsid w:val="004F4ED7"/>
    <w:rsid w:val="004F53B8"/>
    <w:rsid w:val="004F5835"/>
    <w:rsid w:val="004F5B88"/>
    <w:rsid w:val="004F5C6B"/>
    <w:rsid w:val="004F5C7E"/>
    <w:rsid w:val="004F642A"/>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B4"/>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14"/>
    <w:rsid w:val="00524DC5"/>
    <w:rsid w:val="005253AF"/>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5F7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5F6B"/>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7D2"/>
    <w:rsid w:val="00565868"/>
    <w:rsid w:val="00565A34"/>
    <w:rsid w:val="00565EDF"/>
    <w:rsid w:val="005660A6"/>
    <w:rsid w:val="00566183"/>
    <w:rsid w:val="00566F1E"/>
    <w:rsid w:val="00566F27"/>
    <w:rsid w:val="0056712C"/>
    <w:rsid w:val="00567343"/>
    <w:rsid w:val="00567420"/>
    <w:rsid w:val="0056752B"/>
    <w:rsid w:val="00567D7A"/>
    <w:rsid w:val="00570594"/>
    <w:rsid w:val="00570682"/>
    <w:rsid w:val="005708FD"/>
    <w:rsid w:val="00571008"/>
    <w:rsid w:val="0057140A"/>
    <w:rsid w:val="00571AD6"/>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815"/>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2E"/>
    <w:rsid w:val="00585431"/>
    <w:rsid w:val="00585D35"/>
    <w:rsid w:val="0058632E"/>
    <w:rsid w:val="005869C9"/>
    <w:rsid w:val="00586D2D"/>
    <w:rsid w:val="00587142"/>
    <w:rsid w:val="00587188"/>
    <w:rsid w:val="005876BD"/>
    <w:rsid w:val="005879EE"/>
    <w:rsid w:val="00590081"/>
    <w:rsid w:val="00590918"/>
    <w:rsid w:val="005912BF"/>
    <w:rsid w:val="00591F58"/>
    <w:rsid w:val="00592244"/>
    <w:rsid w:val="005922B0"/>
    <w:rsid w:val="005927F5"/>
    <w:rsid w:val="00592805"/>
    <w:rsid w:val="0059320A"/>
    <w:rsid w:val="00593C8C"/>
    <w:rsid w:val="0059429E"/>
    <w:rsid w:val="00594623"/>
    <w:rsid w:val="00594821"/>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32B"/>
    <w:rsid w:val="005A44A5"/>
    <w:rsid w:val="005A476A"/>
    <w:rsid w:val="005A4906"/>
    <w:rsid w:val="005A49B3"/>
    <w:rsid w:val="005A4DDE"/>
    <w:rsid w:val="005A4E47"/>
    <w:rsid w:val="005A53DB"/>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44"/>
    <w:rsid w:val="005B29D5"/>
    <w:rsid w:val="005B2B6A"/>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6DD0"/>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4DB"/>
    <w:rsid w:val="005C369E"/>
    <w:rsid w:val="005C36CF"/>
    <w:rsid w:val="005C3760"/>
    <w:rsid w:val="005C3969"/>
    <w:rsid w:val="005C4450"/>
    <w:rsid w:val="005C4A9C"/>
    <w:rsid w:val="005C502F"/>
    <w:rsid w:val="005C59E6"/>
    <w:rsid w:val="005C5A64"/>
    <w:rsid w:val="005C5ED7"/>
    <w:rsid w:val="005C5F96"/>
    <w:rsid w:val="005C6A95"/>
    <w:rsid w:val="005C6E40"/>
    <w:rsid w:val="005C730C"/>
    <w:rsid w:val="005C748C"/>
    <w:rsid w:val="005D0100"/>
    <w:rsid w:val="005D058D"/>
    <w:rsid w:val="005D05E3"/>
    <w:rsid w:val="005D0890"/>
    <w:rsid w:val="005D09D2"/>
    <w:rsid w:val="005D100E"/>
    <w:rsid w:val="005D10BA"/>
    <w:rsid w:val="005D1447"/>
    <w:rsid w:val="005D15A7"/>
    <w:rsid w:val="005D186D"/>
    <w:rsid w:val="005D198E"/>
    <w:rsid w:val="005D22A1"/>
    <w:rsid w:val="005D2D3E"/>
    <w:rsid w:val="005D353F"/>
    <w:rsid w:val="005D36FD"/>
    <w:rsid w:val="005D39A4"/>
    <w:rsid w:val="005D3B3E"/>
    <w:rsid w:val="005D4892"/>
    <w:rsid w:val="005D4C21"/>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394"/>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5F7A31"/>
    <w:rsid w:val="005F7B2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0939"/>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581"/>
    <w:rsid w:val="00622702"/>
    <w:rsid w:val="0062286A"/>
    <w:rsid w:val="00622A06"/>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B9"/>
    <w:rsid w:val="00640F0E"/>
    <w:rsid w:val="00640F4F"/>
    <w:rsid w:val="00641620"/>
    <w:rsid w:val="00641A1D"/>
    <w:rsid w:val="00641B8E"/>
    <w:rsid w:val="0064239B"/>
    <w:rsid w:val="0064247A"/>
    <w:rsid w:val="0064282F"/>
    <w:rsid w:val="00642E9E"/>
    <w:rsid w:val="00642FFB"/>
    <w:rsid w:val="00643084"/>
    <w:rsid w:val="006434DF"/>
    <w:rsid w:val="006435DC"/>
    <w:rsid w:val="0064380B"/>
    <w:rsid w:val="00643C2F"/>
    <w:rsid w:val="00643E69"/>
    <w:rsid w:val="00643F37"/>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BE0"/>
    <w:rsid w:val="00655DF6"/>
    <w:rsid w:val="00655FB7"/>
    <w:rsid w:val="00656593"/>
    <w:rsid w:val="0065696A"/>
    <w:rsid w:val="00656E1E"/>
    <w:rsid w:val="00656E9F"/>
    <w:rsid w:val="0065709A"/>
    <w:rsid w:val="006574B9"/>
    <w:rsid w:val="006574DD"/>
    <w:rsid w:val="00657661"/>
    <w:rsid w:val="006578CE"/>
    <w:rsid w:val="00657F49"/>
    <w:rsid w:val="0066005F"/>
    <w:rsid w:val="006609A0"/>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19"/>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F0"/>
    <w:rsid w:val="006B1197"/>
    <w:rsid w:val="006B1533"/>
    <w:rsid w:val="006B23E0"/>
    <w:rsid w:val="006B2A65"/>
    <w:rsid w:val="006B2BEE"/>
    <w:rsid w:val="006B2EDC"/>
    <w:rsid w:val="006B3106"/>
    <w:rsid w:val="006B3406"/>
    <w:rsid w:val="006B3812"/>
    <w:rsid w:val="006B3B99"/>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2D1E"/>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B8B"/>
    <w:rsid w:val="006E2DB5"/>
    <w:rsid w:val="006E3CE7"/>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5BC"/>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2B"/>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153"/>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5BB"/>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2C22"/>
    <w:rsid w:val="00763E73"/>
    <w:rsid w:val="00764DD1"/>
    <w:rsid w:val="007651BB"/>
    <w:rsid w:val="00765426"/>
    <w:rsid w:val="00765BDD"/>
    <w:rsid w:val="00765BE5"/>
    <w:rsid w:val="00765D6D"/>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3A"/>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61C"/>
    <w:rsid w:val="00783708"/>
    <w:rsid w:val="00783D20"/>
    <w:rsid w:val="00783D86"/>
    <w:rsid w:val="0078457B"/>
    <w:rsid w:val="00784F7A"/>
    <w:rsid w:val="00785A79"/>
    <w:rsid w:val="00785C3C"/>
    <w:rsid w:val="00785F46"/>
    <w:rsid w:val="00786364"/>
    <w:rsid w:val="00786788"/>
    <w:rsid w:val="007869E1"/>
    <w:rsid w:val="00786D15"/>
    <w:rsid w:val="00786D21"/>
    <w:rsid w:val="00786FF0"/>
    <w:rsid w:val="00787051"/>
    <w:rsid w:val="007875A3"/>
    <w:rsid w:val="00787DFA"/>
    <w:rsid w:val="00787E27"/>
    <w:rsid w:val="00790378"/>
    <w:rsid w:val="007905D5"/>
    <w:rsid w:val="00790894"/>
    <w:rsid w:val="00790DFE"/>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E44"/>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94B"/>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0D"/>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619"/>
    <w:rsid w:val="007C2739"/>
    <w:rsid w:val="007C27F7"/>
    <w:rsid w:val="007C2B1D"/>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5D3"/>
    <w:rsid w:val="007F58C9"/>
    <w:rsid w:val="007F617E"/>
    <w:rsid w:val="007F62FD"/>
    <w:rsid w:val="007F6BC4"/>
    <w:rsid w:val="007F7441"/>
    <w:rsid w:val="007F7612"/>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40A"/>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339B"/>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519"/>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5D1"/>
    <w:rsid w:val="008936CD"/>
    <w:rsid w:val="00893B60"/>
    <w:rsid w:val="00893B87"/>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56A"/>
    <w:rsid w:val="008B75B9"/>
    <w:rsid w:val="008B77B0"/>
    <w:rsid w:val="008C09EB"/>
    <w:rsid w:val="008C15E1"/>
    <w:rsid w:val="008C178D"/>
    <w:rsid w:val="008C1912"/>
    <w:rsid w:val="008C19DE"/>
    <w:rsid w:val="008C2186"/>
    <w:rsid w:val="008C22E1"/>
    <w:rsid w:val="008C24DA"/>
    <w:rsid w:val="008C2CF1"/>
    <w:rsid w:val="008C323E"/>
    <w:rsid w:val="008C39BB"/>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3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88"/>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9DE"/>
    <w:rsid w:val="00910AFF"/>
    <w:rsid w:val="009111E4"/>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4DF5"/>
    <w:rsid w:val="00945637"/>
    <w:rsid w:val="009459C9"/>
    <w:rsid w:val="00945CE3"/>
    <w:rsid w:val="00945D49"/>
    <w:rsid w:val="009460EF"/>
    <w:rsid w:val="00946A80"/>
    <w:rsid w:val="00946D8C"/>
    <w:rsid w:val="0094717D"/>
    <w:rsid w:val="009472C4"/>
    <w:rsid w:val="0094732C"/>
    <w:rsid w:val="00947472"/>
    <w:rsid w:val="009479E4"/>
    <w:rsid w:val="00947A4B"/>
    <w:rsid w:val="00947FD0"/>
    <w:rsid w:val="00950A51"/>
    <w:rsid w:val="00950EE2"/>
    <w:rsid w:val="00952941"/>
    <w:rsid w:val="00952A36"/>
    <w:rsid w:val="00952DD3"/>
    <w:rsid w:val="00953D7A"/>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418"/>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3C0"/>
    <w:rsid w:val="00981F78"/>
    <w:rsid w:val="00982761"/>
    <w:rsid w:val="0098287F"/>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B41"/>
    <w:rsid w:val="009910D7"/>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658"/>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3EA2"/>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E8C"/>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775"/>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6DFC"/>
    <w:rsid w:val="009F7762"/>
    <w:rsid w:val="009F77D3"/>
    <w:rsid w:val="009F78C2"/>
    <w:rsid w:val="009F7D66"/>
    <w:rsid w:val="00A0044C"/>
    <w:rsid w:val="00A0091A"/>
    <w:rsid w:val="00A00F75"/>
    <w:rsid w:val="00A0131B"/>
    <w:rsid w:val="00A01AE5"/>
    <w:rsid w:val="00A01E6A"/>
    <w:rsid w:val="00A01F46"/>
    <w:rsid w:val="00A02274"/>
    <w:rsid w:val="00A026CA"/>
    <w:rsid w:val="00A02837"/>
    <w:rsid w:val="00A036BA"/>
    <w:rsid w:val="00A03C77"/>
    <w:rsid w:val="00A0403A"/>
    <w:rsid w:val="00A040AC"/>
    <w:rsid w:val="00A043E3"/>
    <w:rsid w:val="00A04A3D"/>
    <w:rsid w:val="00A05065"/>
    <w:rsid w:val="00A0574A"/>
    <w:rsid w:val="00A05C6C"/>
    <w:rsid w:val="00A05FC1"/>
    <w:rsid w:val="00A067F1"/>
    <w:rsid w:val="00A06B2E"/>
    <w:rsid w:val="00A078AA"/>
    <w:rsid w:val="00A07C3C"/>
    <w:rsid w:val="00A10156"/>
    <w:rsid w:val="00A10A6D"/>
    <w:rsid w:val="00A10CB1"/>
    <w:rsid w:val="00A111E1"/>
    <w:rsid w:val="00A11F8F"/>
    <w:rsid w:val="00A129F6"/>
    <w:rsid w:val="00A133CC"/>
    <w:rsid w:val="00A138C9"/>
    <w:rsid w:val="00A13DCB"/>
    <w:rsid w:val="00A13EC0"/>
    <w:rsid w:val="00A15067"/>
    <w:rsid w:val="00A155CB"/>
    <w:rsid w:val="00A16419"/>
    <w:rsid w:val="00A167FB"/>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BE2"/>
    <w:rsid w:val="00A32FC9"/>
    <w:rsid w:val="00A33B3C"/>
    <w:rsid w:val="00A33F4E"/>
    <w:rsid w:val="00A348B6"/>
    <w:rsid w:val="00A34AB0"/>
    <w:rsid w:val="00A350A2"/>
    <w:rsid w:val="00A3525A"/>
    <w:rsid w:val="00A35405"/>
    <w:rsid w:val="00A36092"/>
    <w:rsid w:val="00A36968"/>
    <w:rsid w:val="00A36D01"/>
    <w:rsid w:val="00A37145"/>
    <w:rsid w:val="00A3752B"/>
    <w:rsid w:val="00A37F68"/>
    <w:rsid w:val="00A403A6"/>
    <w:rsid w:val="00A40439"/>
    <w:rsid w:val="00A40844"/>
    <w:rsid w:val="00A4094D"/>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47CF5"/>
    <w:rsid w:val="00A5026F"/>
    <w:rsid w:val="00A50461"/>
    <w:rsid w:val="00A50805"/>
    <w:rsid w:val="00A50AC8"/>
    <w:rsid w:val="00A50CD6"/>
    <w:rsid w:val="00A51C0E"/>
    <w:rsid w:val="00A52E06"/>
    <w:rsid w:val="00A539BC"/>
    <w:rsid w:val="00A53AFE"/>
    <w:rsid w:val="00A54B8D"/>
    <w:rsid w:val="00A54CE5"/>
    <w:rsid w:val="00A54DED"/>
    <w:rsid w:val="00A559F4"/>
    <w:rsid w:val="00A55EBB"/>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13C"/>
    <w:rsid w:val="00A662EC"/>
    <w:rsid w:val="00A66510"/>
    <w:rsid w:val="00A67187"/>
    <w:rsid w:val="00A67EC3"/>
    <w:rsid w:val="00A7030F"/>
    <w:rsid w:val="00A70B8D"/>
    <w:rsid w:val="00A70C69"/>
    <w:rsid w:val="00A710D4"/>
    <w:rsid w:val="00A71116"/>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673"/>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794"/>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0AF"/>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51"/>
    <w:rsid w:val="00AC6C8E"/>
    <w:rsid w:val="00AC6F34"/>
    <w:rsid w:val="00AC6FBE"/>
    <w:rsid w:val="00AC70B0"/>
    <w:rsid w:val="00AC7460"/>
    <w:rsid w:val="00AC7A1F"/>
    <w:rsid w:val="00AC7BB7"/>
    <w:rsid w:val="00AD0C33"/>
    <w:rsid w:val="00AD0E0E"/>
    <w:rsid w:val="00AD0E18"/>
    <w:rsid w:val="00AD1227"/>
    <w:rsid w:val="00AD12FB"/>
    <w:rsid w:val="00AD144C"/>
    <w:rsid w:val="00AD18C6"/>
    <w:rsid w:val="00AD1AB8"/>
    <w:rsid w:val="00AD20CE"/>
    <w:rsid w:val="00AD226B"/>
    <w:rsid w:val="00AD2A64"/>
    <w:rsid w:val="00AD3162"/>
    <w:rsid w:val="00AD3CAD"/>
    <w:rsid w:val="00AD46E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FC"/>
    <w:rsid w:val="00AE1290"/>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3AA"/>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2F06"/>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29D"/>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3BC"/>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152"/>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0DE"/>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1EE"/>
    <w:rsid w:val="00BC2762"/>
    <w:rsid w:val="00BC2E2D"/>
    <w:rsid w:val="00BC330C"/>
    <w:rsid w:val="00BC3759"/>
    <w:rsid w:val="00BC3841"/>
    <w:rsid w:val="00BC401B"/>
    <w:rsid w:val="00BC5104"/>
    <w:rsid w:val="00BC5111"/>
    <w:rsid w:val="00BC5AA7"/>
    <w:rsid w:val="00BC655E"/>
    <w:rsid w:val="00BC6642"/>
    <w:rsid w:val="00BC6E7E"/>
    <w:rsid w:val="00BC78C6"/>
    <w:rsid w:val="00BC7F1F"/>
    <w:rsid w:val="00BD01C0"/>
    <w:rsid w:val="00BD0600"/>
    <w:rsid w:val="00BD1E46"/>
    <w:rsid w:val="00BD20A2"/>
    <w:rsid w:val="00BD2108"/>
    <w:rsid w:val="00BD2162"/>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14B"/>
    <w:rsid w:val="00BE29B1"/>
    <w:rsid w:val="00BE3420"/>
    <w:rsid w:val="00BE34FB"/>
    <w:rsid w:val="00BE422E"/>
    <w:rsid w:val="00BE4808"/>
    <w:rsid w:val="00BE484A"/>
    <w:rsid w:val="00BE4934"/>
    <w:rsid w:val="00BE4C2A"/>
    <w:rsid w:val="00BE4ED4"/>
    <w:rsid w:val="00BE55B5"/>
    <w:rsid w:val="00BE5682"/>
    <w:rsid w:val="00BE5980"/>
    <w:rsid w:val="00BE5A97"/>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56B"/>
    <w:rsid w:val="00C02A50"/>
    <w:rsid w:val="00C02C17"/>
    <w:rsid w:val="00C02FF3"/>
    <w:rsid w:val="00C034CC"/>
    <w:rsid w:val="00C039C3"/>
    <w:rsid w:val="00C04273"/>
    <w:rsid w:val="00C0438F"/>
    <w:rsid w:val="00C04AA2"/>
    <w:rsid w:val="00C04E70"/>
    <w:rsid w:val="00C05674"/>
    <w:rsid w:val="00C0576C"/>
    <w:rsid w:val="00C05E55"/>
    <w:rsid w:val="00C0608B"/>
    <w:rsid w:val="00C06296"/>
    <w:rsid w:val="00C06C4E"/>
    <w:rsid w:val="00C074F1"/>
    <w:rsid w:val="00C07C73"/>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E9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041"/>
    <w:rsid w:val="00C334CB"/>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9CC"/>
    <w:rsid w:val="00C51A13"/>
    <w:rsid w:val="00C52652"/>
    <w:rsid w:val="00C527DC"/>
    <w:rsid w:val="00C52AC7"/>
    <w:rsid w:val="00C52E34"/>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C23"/>
    <w:rsid w:val="00C61E49"/>
    <w:rsid w:val="00C62065"/>
    <w:rsid w:val="00C62965"/>
    <w:rsid w:val="00C62AD9"/>
    <w:rsid w:val="00C6341D"/>
    <w:rsid w:val="00C635B9"/>
    <w:rsid w:val="00C639EE"/>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A6A"/>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4C9B"/>
    <w:rsid w:val="00CA5681"/>
    <w:rsid w:val="00CA605A"/>
    <w:rsid w:val="00CA6665"/>
    <w:rsid w:val="00CA756D"/>
    <w:rsid w:val="00CA75E5"/>
    <w:rsid w:val="00CA7750"/>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38"/>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2A"/>
    <w:rsid w:val="00CE24CB"/>
    <w:rsid w:val="00CE2859"/>
    <w:rsid w:val="00CE3522"/>
    <w:rsid w:val="00CE39B1"/>
    <w:rsid w:val="00CE3A00"/>
    <w:rsid w:val="00CE40EA"/>
    <w:rsid w:val="00CE4126"/>
    <w:rsid w:val="00CE43C0"/>
    <w:rsid w:val="00CE4526"/>
    <w:rsid w:val="00CE47DC"/>
    <w:rsid w:val="00CE4866"/>
    <w:rsid w:val="00CE4BBE"/>
    <w:rsid w:val="00CE4E30"/>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B3"/>
    <w:rsid w:val="00D023E6"/>
    <w:rsid w:val="00D025B1"/>
    <w:rsid w:val="00D026F3"/>
    <w:rsid w:val="00D02D6E"/>
    <w:rsid w:val="00D034E1"/>
    <w:rsid w:val="00D03809"/>
    <w:rsid w:val="00D0419A"/>
    <w:rsid w:val="00D043FA"/>
    <w:rsid w:val="00D045E5"/>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11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6A2"/>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39A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68CF"/>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3F9C"/>
    <w:rsid w:val="00D7430F"/>
    <w:rsid w:val="00D743A6"/>
    <w:rsid w:val="00D743FC"/>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ABA"/>
    <w:rsid w:val="00D77FA3"/>
    <w:rsid w:val="00D8010A"/>
    <w:rsid w:val="00D8034A"/>
    <w:rsid w:val="00D8085C"/>
    <w:rsid w:val="00D8098F"/>
    <w:rsid w:val="00D80FF4"/>
    <w:rsid w:val="00D81169"/>
    <w:rsid w:val="00D81E66"/>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B36"/>
    <w:rsid w:val="00D97DAE"/>
    <w:rsid w:val="00D97F1B"/>
    <w:rsid w:val="00DA0048"/>
    <w:rsid w:val="00DA0070"/>
    <w:rsid w:val="00DA04BE"/>
    <w:rsid w:val="00DA0691"/>
    <w:rsid w:val="00DA06F9"/>
    <w:rsid w:val="00DA08A7"/>
    <w:rsid w:val="00DA0F1C"/>
    <w:rsid w:val="00DA11BB"/>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CAE"/>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6B54"/>
    <w:rsid w:val="00DC703D"/>
    <w:rsid w:val="00DC70A4"/>
    <w:rsid w:val="00DC7148"/>
    <w:rsid w:val="00DD0291"/>
    <w:rsid w:val="00DD03B9"/>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4E"/>
    <w:rsid w:val="00DE5261"/>
    <w:rsid w:val="00DE52E5"/>
    <w:rsid w:val="00DE56B2"/>
    <w:rsid w:val="00DE5978"/>
    <w:rsid w:val="00DE5C38"/>
    <w:rsid w:val="00DE640B"/>
    <w:rsid w:val="00DE6DA4"/>
    <w:rsid w:val="00DE7787"/>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17D5B"/>
    <w:rsid w:val="00E20463"/>
    <w:rsid w:val="00E21CDE"/>
    <w:rsid w:val="00E21CF2"/>
    <w:rsid w:val="00E21F02"/>
    <w:rsid w:val="00E224F8"/>
    <w:rsid w:val="00E226CF"/>
    <w:rsid w:val="00E2294B"/>
    <w:rsid w:val="00E22E3F"/>
    <w:rsid w:val="00E23913"/>
    <w:rsid w:val="00E23ADE"/>
    <w:rsid w:val="00E24543"/>
    <w:rsid w:val="00E24882"/>
    <w:rsid w:val="00E24AA1"/>
    <w:rsid w:val="00E250FD"/>
    <w:rsid w:val="00E252CF"/>
    <w:rsid w:val="00E258E0"/>
    <w:rsid w:val="00E2627E"/>
    <w:rsid w:val="00E26CFA"/>
    <w:rsid w:val="00E27396"/>
    <w:rsid w:val="00E27794"/>
    <w:rsid w:val="00E27D56"/>
    <w:rsid w:val="00E30DC2"/>
    <w:rsid w:val="00E30EAE"/>
    <w:rsid w:val="00E313B6"/>
    <w:rsid w:val="00E313CC"/>
    <w:rsid w:val="00E3151B"/>
    <w:rsid w:val="00E3165F"/>
    <w:rsid w:val="00E319EC"/>
    <w:rsid w:val="00E31A49"/>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382"/>
    <w:rsid w:val="00E434BA"/>
    <w:rsid w:val="00E438C5"/>
    <w:rsid w:val="00E43CC0"/>
    <w:rsid w:val="00E43EAB"/>
    <w:rsid w:val="00E43EBE"/>
    <w:rsid w:val="00E43FFA"/>
    <w:rsid w:val="00E44192"/>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4F35"/>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BCB"/>
    <w:rsid w:val="00E65C0D"/>
    <w:rsid w:val="00E65C1A"/>
    <w:rsid w:val="00E65F33"/>
    <w:rsid w:val="00E66160"/>
    <w:rsid w:val="00E66BB3"/>
    <w:rsid w:val="00E6734B"/>
    <w:rsid w:val="00E67F60"/>
    <w:rsid w:val="00E67FFA"/>
    <w:rsid w:val="00E7067E"/>
    <w:rsid w:val="00E70787"/>
    <w:rsid w:val="00E71C13"/>
    <w:rsid w:val="00E7219F"/>
    <w:rsid w:val="00E72235"/>
    <w:rsid w:val="00E7280A"/>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A98"/>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CA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6C"/>
    <w:rsid w:val="00EC78A1"/>
    <w:rsid w:val="00EC7EB4"/>
    <w:rsid w:val="00EC7F2E"/>
    <w:rsid w:val="00ED01C8"/>
    <w:rsid w:val="00ED042F"/>
    <w:rsid w:val="00ED09D6"/>
    <w:rsid w:val="00ED0BCA"/>
    <w:rsid w:val="00ED1FFB"/>
    <w:rsid w:val="00ED21C2"/>
    <w:rsid w:val="00ED2A4C"/>
    <w:rsid w:val="00ED2BB3"/>
    <w:rsid w:val="00ED2D2D"/>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336"/>
    <w:rsid w:val="00F00766"/>
    <w:rsid w:val="00F009A3"/>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A91"/>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3E8"/>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4D"/>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3F1"/>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754"/>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4FE5"/>
    <w:rsid w:val="00FC55E5"/>
    <w:rsid w:val="00FC57BB"/>
    <w:rsid w:val="00FC59C4"/>
    <w:rsid w:val="00FC5E56"/>
    <w:rsid w:val="00FC604E"/>
    <w:rsid w:val="00FC6451"/>
    <w:rsid w:val="00FC6587"/>
    <w:rsid w:val="00FC67F5"/>
    <w:rsid w:val="00FC6FA9"/>
    <w:rsid w:val="00FC7576"/>
    <w:rsid w:val="00FC7BA3"/>
    <w:rsid w:val="00FD0102"/>
    <w:rsid w:val="00FD05D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B26"/>
    <w:rsid w:val="00FD6C31"/>
    <w:rsid w:val="00FD7041"/>
    <w:rsid w:val="00FD7B0A"/>
    <w:rsid w:val="00FD7CCC"/>
    <w:rsid w:val="00FE002E"/>
    <w:rsid w:val="00FE0183"/>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117"/>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ACC"/>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263541"/>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263541"/>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47A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7AC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style>
  <w:style w:type="table" w:styleId="TableGrid">
    <w:name w:val="Table Grid"/>
    <w:basedOn w:val="TableNormal"/>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Heading1Char">
    <w:name w:val="Heading 1 Char"/>
    <w:aliases w:val="H1 Char,h1 Char,Heading 1 3GPP Char"/>
    <w:basedOn w:val="DefaultParagraphFont"/>
    <w:link w:val="Heading1"/>
    <w:uiPriority w:val="9"/>
    <w:rsid w:val="00263541"/>
    <w:rPr>
      <w:rFonts w:asciiTheme="majorHAnsi" w:eastAsiaTheme="majorEastAsia" w:hAnsiTheme="majorHAnsi" w:cstheme="majorBidi"/>
      <w:color w:val="2E74B5" w:themeColor="accent1" w:themeShade="BF"/>
      <w:sz w:val="32"/>
      <w:szCs w:val="32"/>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rPr>
  </w:style>
  <w:style w:type="paragraph" w:customStyle="1" w:styleId="bullet4">
    <w:name w:val="bullet4"/>
    <w:basedOn w:val="Normal"/>
    <w:qFormat/>
    <w:rsid w:val="00641A1D"/>
    <w:pPr>
      <w:numPr>
        <w:ilvl w:val="3"/>
        <w:numId w:val="6"/>
      </w:numPr>
    </w:pPr>
    <w:rPr>
      <w:rFonts w:ascii="Times" w:eastAsia="Batang" w:hAnsi="Times" w:cs="Times New Roman"/>
      <w:sz w:val="20"/>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pPr>
    <w:rPr>
      <w:rFonts w:ascii="Times New Roman" w:eastAsia="MS Gothic" w:hAnsi="Times New Roman" w:cs="Times New Roman"/>
      <w:szCs w:val="20"/>
      <w:lang w:eastAsia="ja-JP"/>
    </w:rPr>
  </w:style>
  <w:style w:type="character" w:customStyle="1" w:styleId="Heading2Char">
    <w:name w:val="Heading 2 Char"/>
    <w:aliases w:val="H2 Char,h2 Char,DO NOT USE_h2 Char,h21 Char,Heading 2 3GPP Char"/>
    <w:link w:val="Heading2"/>
    <w:rsid w:val="00263541"/>
    <w:rPr>
      <w:rFonts w:ascii="Arial" w:eastAsia="PMingLiU" w:hAnsi="Arial"/>
      <w:sz w:val="32"/>
      <w:lang w:val="en-GB" w:eastAsia="en-US"/>
    </w:rPr>
  </w:style>
  <w:style w:type="paragraph" w:styleId="EndnoteText">
    <w:name w:val="endnote text"/>
    <w:basedOn w:val="Normal"/>
    <w:link w:val="EndnoteTextChar"/>
    <w:rsid w:val="0038555E"/>
    <w:rPr>
      <w:sz w:val="20"/>
      <w:szCs w:val="20"/>
    </w:rPr>
  </w:style>
  <w:style w:type="character" w:customStyle="1" w:styleId="EndnoteTextChar">
    <w:name w:val="Endnote Text Char"/>
    <w:basedOn w:val="DefaultParagraphFont"/>
    <w:link w:val="EndnoteText"/>
    <w:rsid w:val="0038555E"/>
    <w:rPr>
      <w:rFonts w:asciiTheme="minorHAnsi" w:eastAsiaTheme="minorHAnsi" w:hAnsiTheme="minorHAnsi" w:cstheme="minorBidi"/>
      <w:lang w:val="en-GB" w:eastAsia="en-US"/>
    </w:rPr>
  </w:style>
  <w:style w:type="character" w:styleId="EndnoteReference">
    <w:name w:val="endnote reference"/>
    <w:basedOn w:val="DefaultParagraphFont"/>
    <w:rsid w:val="00385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1028811">
      <w:bodyDiv w:val="1"/>
      <w:marLeft w:val="0"/>
      <w:marRight w:val="0"/>
      <w:marTop w:val="0"/>
      <w:marBottom w:val="0"/>
      <w:divBdr>
        <w:top w:val="none" w:sz="0" w:space="0" w:color="auto"/>
        <w:left w:val="none" w:sz="0" w:space="0" w:color="auto"/>
        <w:bottom w:val="none" w:sz="0" w:space="0" w:color="auto"/>
        <w:right w:val="none" w:sz="0" w:space="0" w:color="auto"/>
      </w:divBdr>
      <w:divsChild>
        <w:div w:id="772551982">
          <w:marLeft w:val="0"/>
          <w:marRight w:val="0"/>
          <w:marTop w:val="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B9B6B-7307-4E5D-B1F9-6DAD5F11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1825</Words>
  <Characters>10408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2021-10-22T17:22:00Z</dcterms:created>
  <dcterms:modified xsi:type="dcterms:W3CDTF">2021-10-22T17:25:00Z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